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6F40BC" w:rsidRPr="002C136E" w14:paraId="2BC145B8" w14:textId="77777777" w:rsidTr="00247523">
        <w:tc>
          <w:tcPr>
            <w:tcW w:w="6684" w:type="dxa"/>
          </w:tcPr>
          <w:p w14:paraId="117D9744" w14:textId="257926A0" w:rsidR="006F40BC" w:rsidRPr="002C136E" w:rsidRDefault="006F40BC" w:rsidP="00016124">
            <w:pPr>
              <w:tabs>
                <w:tab w:val="right" w:pos="10000"/>
              </w:tabs>
              <w:spacing w:after="0"/>
              <w:jc w:val="both"/>
              <w:rPr>
                <w:b/>
                <w:sz w:val="22"/>
                <w:szCs w:val="24"/>
              </w:rPr>
            </w:pPr>
            <w:r w:rsidRPr="002C136E">
              <w:rPr>
                <w:b/>
                <w:sz w:val="22"/>
                <w:szCs w:val="24"/>
              </w:rPr>
              <w:t>3GPP TSG-RAN WG1 Meeting #</w:t>
            </w:r>
            <w:r w:rsidR="00782900" w:rsidRPr="002C136E">
              <w:rPr>
                <w:b/>
                <w:sz w:val="22"/>
                <w:szCs w:val="24"/>
              </w:rPr>
              <w:t>10</w:t>
            </w:r>
            <w:r w:rsidR="007D45C3">
              <w:rPr>
                <w:b/>
                <w:sz w:val="22"/>
                <w:szCs w:val="24"/>
              </w:rPr>
              <w:t>6</w:t>
            </w:r>
            <w:r w:rsidR="00CF4A2E">
              <w:rPr>
                <w:b/>
                <w:sz w:val="22"/>
                <w:szCs w:val="24"/>
              </w:rPr>
              <w:t>e</w:t>
            </w:r>
            <w:r w:rsidRPr="002C136E">
              <w:rPr>
                <w:b/>
                <w:sz w:val="22"/>
                <w:szCs w:val="24"/>
              </w:rPr>
              <w:tab/>
            </w:r>
          </w:p>
          <w:p w14:paraId="1EC84673" w14:textId="493F6132" w:rsidR="006F40BC" w:rsidRPr="002C136E" w:rsidRDefault="005F6F46" w:rsidP="007D45C3">
            <w:pPr>
              <w:pStyle w:val="Footer"/>
              <w:jc w:val="both"/>
              <w:rPr>
                <w:rFonts w:ascii="Times New Roman" w:hAnsi="Times New Roman"/>
                <w:b w:val="0"/>
                <w:sz w:val="22"/>
                <w:szCs w:val="24"/>
              </w:rPr>
            </w:pPr>
            <w:r w:rsidRPr="002C136E">
              <w:rPr>
                <w:rFonts w:ascii="Times New Roman" w:hAnsi="Times New Roman"/>
                <w:i w:val="0"/>
                <w:noProof w:val="0"/>
                <w:sz w:val="22"/>
                <w:szCs w:val="24"/>
              </w:rPr>
              <w:t>e-Meeting</w:t>
            </w:r>
            <w:r w:rsidR="006F40BC" w:rsidRPr="002C136E">
              <w:rPr>
                <w:rFonts w:ascii="Times New Roman" w:hAnsi="Times New Roman"/>
                <w:i w:val="0"/>
                <w:noProof w:val="0"/>
                <w:sz w:val="22"/>
                <w:szCs w:val="24"/>
              </w:rPr>
              <w:t xml:space="preserve">, </w:t>
            </w:r>
            <w:r w:rsidR="007D45C3">
              <w:rPr>
                <w:rFonts w:ascii="Times New Roman" w:hAnsi="Times New Roman"/>
                <w:i w:val="0"/>
                <w:noProof w:val="0"/>
                <w:sz w:val="22"/>
                <w:szCs w:val="24"/>
              </w:rPr>
              <w:t>Aug</w:t>
            </w:r>
            <w:r w:rsidR="00A559FB" w:rsidRPr="002C136E">
              <w:rPr>
                <w:rFonts w:ascii="Times New Roman" w:hAnsi="Times New Roman"/>
                <w:i w:val="0"/>
                <w:noProof w:val="0"/>
                <w:sz w:val="22"/>
                <w:szCs w:val="24"/>
              </w:rPr>
              <w:t xml:space="preserve"> </w:t>
            </w:r>
            <w:r w:rsidR="007D45C3">
              <w:rPr>
                <w:rFonts w:ascii="Times New Roman" w:hAnsi="Times New Roman"/>
                <w:i w:val="0"/>
                <w:noProof w:val="0"/>
                <w:sz w:val="22"/>
                <w:szCs w:val="24"/>
              </w:rPr>
              <w:t>16</w:t>
            </w:r>
            <w:r w:rsidRPr="002C136E">
              <w:rPr>
                <w:rFonts w:ascii="Times New Roman" w:hAnsi="Times New Roman"/>
                <w:i w:val="0"/>
                <w:noProof w:val="0"/>
                <w:sz w:val="22"/>
                <w:szCs w:val="24"/>
                <w:vertAlign w:val="superscript"/>
              </w:rPr>
              <w:t>th</w:t>
            </w:r>
            <w:r w:rsidRPr="002C136E">
              <w:rPr>
                <w:rFonts w:ascii="Times New Roman" w:hAnsi="Times New Roman"/>
                <w:i w:val="0"/>
                <w:noProof w:val="0"/>
                <w:sz w:val="22"/>
                <w:szCs w:val="24"/>
              </w:rPr>
              <w:t xml:space="preserve"> – </w:t>
            </w:r>
            <w:r w:rsidR="007D45C3">
              <w:rPr>
                <w:rFonts w:ascii="Times New Roman" w:hAnsi="Times New Roman"/>
                <w:i w:val="0"/>
                <w:noProof w:val="0"/>
                <w:sz w:val="22"/>
                <w:szCs w:val="24"/>
              </w:rPr>
              <w:t>Aug</w:t>
            </w:r>
            <w:r w:rsidR="00A559FB" w:rsidRPr="002C136E">
              <w:rPr>
                <w:rFonts w:ascii="Times New Roman" w:hAnsi="Times New Roman"/>
                <w:i w:val="0"/>
                <w:noProof w:val="0"/>
                <w:sz w:val="22"/>
                <w:szCs w:val="24"/>
              </w:rPr>
              <w:t xml:space="preserve"> </w:t>
            </w:r>
            <w:r w:rsidR="009B4FA7">
              <w:rPr>
                <w:rFonts w:ascii="Times New Roman" w:hAnsi="Times New Roman"/>
                <w:i w:val="0"/>
                <w:noProof w:val="0"/>
                <w:sz w:val="22"/>
                <w:szCs w:val="24"/>
              </w:rPr>
              <w:t>27</w:t>
            </w:r>
            <w:r w:rsidRPr="002C136E">
              <w:rPr>
                <w:rFonts w:ascii="Times New Roman" w:hAnsi="Times New Roman"/>
                <w:i w:val="0"/>
                <w:noProof w:val="0"/>
                <w:sz w:val="22"/>
                <w:szCs w:val="24"/>
                <w:vertAlign w:val="superscript"/>
              </w:rPr>
              <w:t>th</w:t>
            </w:r>
            <w:r w:rsidR="006F40BC" w:rsidRPr="002C136E">
              <w:rPr>
                <w:rFonts w:ascii="Times New Roman" w:hAnsi="Times New Roman"/>
                <w:i w:val="0"/>
                <w:noProof w:val="0"/>
                <w:sz w:val="22"/>
                <w:szCs w:val="24"/>
              </w:rPr>
              <w:t xml:space="preserve">, </w:t>
            </w:r>
            <w:r w:rsidR="00D9584E" w:rsidRPr="002C136E">
              <w:rPr>
                <w:rFonts w:ascii="Times New Roman" w:hAnsi="Times New Roman"/>
                <w:i w:val="0"/>
                <w:noProof w:val="0"/>
                <w:sz w:val="22"/>
                <w:szCs w:val="24"/>
              </w:rPr>
              <w:t>202</w:t>
            </w:r>
            <w:r w:rsidR="00D9584E">
              <w:rPr>
                <w:rFonts w:ascii="Times New Roman" w:hAnsi="Times New Roman"/>
                <w:i w:val="0"/>
                <w:noProof w:val="0"/>
                <w:sz w:val="22"/>
                <w:szCs w:val="24"/>
              </w:rPr>
              <w:t>1</w:t>
            </w:r>
          </w:p>
        </w:tc>
        <w:tc>
          <w:tcPr>
            <w:tcW w:w="2766" w:type="dxa"/>
          </w:tcPr>
          <w:p w14:paraId="04437A8E" w14:textId="1F3F46DF" w:rsidR="006F40BC" w:rsidRPr="002C136E" w:rsidRDefault="00CF4A2E" w:rsidP="006410A6">
            <w:pPr>
              <w:tabs>
                <w:tab w:val="right" w:pos="10000"/>
              </w:tabs>
              <w:spacing w:after="0"/>
              <w:jc w:val="right"/>
              <w:rPr>
                <w:bCs/>
                <w:sz w:val="22"/>
                <w:szCs w:val="24"/>
              </w:rPr>
            </w:pPr>
            <w:r>
              <w:rPr>
                <w:b/>
                <w:sz w:val="22"/>
                <w:szCs w:val="24"/>
              </w:rPr>
              <w:t>R1</w:t>
            </w:r>
            <w:r w:rsidRPr="00021F00">
              <w:rPr>
                <w:rFonts w:ascii="Calibri" w:eastAsia="宋体" w:hAnsi="Calibri" w:cs="Calibri"/>
                <w:color w:val="000000"/>
                <w:sz w:val="22"/>
                <w:szCs w:val="22"/>
                <w:lang w:val="en-US" w:eastAsia="en-US"/>
              </w:rPr>
              <w:t xml:space="preserve"> </w:t>
            </w:r>
            <w:r w:rsidR="007D45C3">
              <w:rPr>
                <w:b/>
                <w:sz w:val="22"/>
                <w:szCs w:val="24"/>
                <w:lang w:val="en-US"/>
              </w:rPr>
              <w:t>-</w:t>
            </w:r>
            <w:r w:rsidR="006410A6">
              <w:t xml:space="preserve"> </w:t>
            </w:r>
            <w:r w:rsidR="006410A6" w:rsidRPr="006410A6">
              <w:rPr>
                <w:b/>
                <w:sz w:val="22"/>
                <w:szCs w:val="24"/>
                <w:lang w:val="en-US"/>
              </w:rPr>
              <w:t>2107523</w:t>
            </w:r>
          </w:p>
        </w:tc>
      </w:tr>
    </w:tbl>
    <w:p w14:paraId="24B66D98" w14:textId="77777777" w:rsidR="00746535" w:rsidRPr="002C136E" w:rsidRDefault="00746535" w:rsidP="00016124">
      <w:pPr>
        <w:pStyle w:val="Footer"/>
        <w:jc w:val="both"/>
        <w:rPr>
          <w:rFonts w:ascii="Times New Roman" w:hAnsi="Times New Roman"/>
          <w:noProof w:val="0"/>
          <w:sz w:val="16"/>
        </w:rPr>
      </w:pPr>
      <w:bookmarkStart w:id="0" w:name="_Hlk495298459"/>
    </w:p>
    <w:p w14:paraId="0597369D" w14:textId="13495EAB" w:rsidR="00746535" w:rsidRPr="002C136E" w:rsidRDefault="00746535" w:rsidP="00016124">
      <w:pPr>
        <w:tabs>
          <w:tab w:val="left" w:pos="1985"/>
        </w:tabs>
        <w:jc w:val="both"/>
        <w:rPr>
          <w:sz w:val="22"/>
        </w:rPr>
      </w:pPr>
      <w:r w:rsidRPr="002C136E">
        <w:rPr>
          <w:b/>
          <w:sz w:val="22"/>
        </w:rPr>
        <w:t>Agenda item:</w:t>
      </w:r>
      <w:r w:rsidRPr="002C136E">
        <w:rPr>
          <w:sz w:val="22"/>
        </w:rPr>
        <w:tab/>
      </w:r>
      <w:r w:rsidR="00563E7A" w:rsidRPr="002C136E">
        <w:rPr>
          <w:sz w:val="22"/>
        </w:rPr>
        <w:t>8</w:t>
      </w:r>
      <w:r w:rsidRPr="002C136E">
        <w:rPr>
          <w:sz w:val="22"/>
        </w:rPr>
        <w:t>.</w:t>
      </w:r>
      <w:r w:rsidR="009320D5">
        <w:rPr>
          <w:sz w:val="22"/>
        </w:rPr>
        <w:t>8</w:t>
      </w:r>
      <w:r w:rsidRPr="002C136E">
        <w:rPr>
          <w:sz w:val="22"/>
        </w:rPr>
        <w:t>.1.</w:t>
      </w:r>
      <w:r w:rsidR="000B1540">
        <w:rPr>
          <w:sz w:val="22"/>
        </w:rPr>
        <w:t>2</w:t>
      </w:r>
    </w:p>
    <w:p w14:paraId="1516E913" w14:textId="0814DC31" w:rsidR="00746535" w:rsidRPr="002C136E" w:rsidRDefault="00746535" w:rsidP="00016124">
      <w:pPr>
        <w:tabs>
          <w:tab w:val="left" w:pos="1985"/>
        </w:tabs>
        <w:jc w:val="both"/>
        <w:rPr>
          <w:sz w:val="22"/>
        </w:rPr>
      </w:pPr>
      <w:r w:rsidRPr="002C136E">
        <w:rPr>
          <w:b/>
          <w:sz w:val="22"/>
        </w:rPr>
        <w:t xml:space="preserve">Source: </w:t>
      </w:r>
      <w:r w:rsidRPr="002C136E">
        <w:rPr>
          <w:b/>
          <w:sz w:val="22"/>
        </w:rPr>
        <w:tab/>
      </w:r>
      <w:r w:rsidR="00A30FE8">
        <w:rPr>
          <w:sz w:val="22"/>
        </w:rPr>
        <w:t>M</w:t>
      </w:r>
      <w:r w:rsidR="00C856C2">
        <w:rPr>
          <w:sz w:val="22"/>
        </w:rPr>
        <w:t>ediaTek Inc.</w:t>
      </w:r>
    </w:p>
    <w:p w14:paraId="2AF82EAF" w14:textId="07DB2A12" w:rsidR="00746535" w:rsidRPr="002C136E" w:rsidRDefault="00746535" w:rsidP="00016124">
      <w:pPr>
        <w:ind w:left="1988" w:hanging="1988"/>
        <w:jc w:val="both"/>
        <w:rPr>
          <w:sz w:val="22"/>
        </w:rPr>
      </w:pPr>
      <w:r w:rsidRPr="002C136E">
        <w:rPr>
          <w:b/>
          <w:sz w:val="24"/>
        </w:rPr>
        <w:t>Title:</w:t>
      </w:r>
      <w:r w:rsidRPr="002C136E">
        <w:rPr>
          <w:sz w:val="24"/>
        </w:rPr>
        <w:t xml:space="preserve"> </w:t>
      </w:r>
      <w:r w:rsidRPr="002C136E">
        <w:rPr>
          <w:sz w:val="22"/>
        </w:rPr>
        <w:tab/>
      </w:r>
      <w:r w:rsidR="009B4FA7">
        <w:rPr>
          <w:sz w:val="22"/>
        </w:rPr>
        <w:t>Discussion on</w:t>
      </w:r>
      <w:r w:rsidR="00D52C88" w:rsidRPr="00D52C88">
        <w:t xml:space="preserve"> </w:t>
      </w:r>
      <w:r w:rsidR="00662FEF">
        <w:rPr>
          <w:sz w:val="22"/>
        </w:rPr>
        <w:t xml:space="preserve">TB Processing over multi-slot </w:t>
      </w:r>
      <w:r w:rsidR="00D52C88" w:rsidRPr="00D52C88">
        <w:rPr>
          <w:sz w:val="22"/>
        </w:rPr>
        <w:t>PUSCH</w:t>
      </w:r>
    </w:p>
    <w:bookmarkEnd w:id="0"/>
    <w:p w14:paraId="0E23AC92" w14:textId="77777777" w:rsidR="00746535" w:rsidRPr="002C136E" w:rsidRDefault="00746535" w:rsidP="00016124">
      <w:pPr>
        <w:ind w:left="1988" w:hanging="1988"/>
        <w:jc w:val="both"/>
        <w:rPr>
          <w:sz w:val="22"/>
        </w:rPr>
      </w:pPr>
      <w:r w:rsidRPr="002C136E">
        <w:rPr>
          <w:b/>
          <w:sz w:val="22"/>
        </w:rPr>
        <w:t>Document for:</w:t>
      </w:r>
      <w:r w:rsidRPr="002C136E">
        <w:rPr>
          <w:sz w:val="22"/>
        </w:rPr>
        <w:tab/>
        <w:t>Discussion/Decision</w:t>
      </w:r>
    </w:p>
    <w:p w14:paraId="13347107" w14:textId="37C9371F" w:rsidR="00014179" w:rsidRPr="00014179" w:rsidRDefault="00746535" w:rsidP="00014179">
      <w:pPr>
        <w:pStyle w:val="Heading1"/>
        <w:jc w:val="both"/>
        <w:rPr>
          <w:rFonts w:ascii="Times New Roman" w:hAnsi="Times New Roman"/>
          <w:lang w:val="en-US"/>
        </w:rPr>
      </w:pPr>
      <w:r w:rsidRPr="002C136E">
        <w:rPr>
          <w:rFonts w:ascii="Times New Roman" w:hAnsi="Times New Roman"/>
          <w:lang w:val="en-US"/>
        </w:rPr>
        <w:t>Introduction</w:t>
      </w:r>
    </w:p>
    <w:p w14:paraId="2FA77CEB" w14:textId="002C0697" w:rsidR="00B517CB" w:rsidRDefault="00B517CB" w:rsidP="00B517CB">
      <w:pPr>
        <w:overflowPunct/>
        <w:autoSpaceDE/>
        <w:autoSpaceDN/>
        <w:adjustRightInd/>
        <w:spacing w:before="120" w:after="120" w:line="276" w:lineRule="auto"/>
        <w:jc w:val="both"/>
        <w:textAlignment w:val="auto"/>
        <w:rPr>
          <w:lang w:eastAsia="zh-CN"/>
        </w:rPr>
      </w:pPr>
      <w:r>
        <w:rPr>
          <w:lang w:eastAsia="zh-CN"/>
        </w:rPr>
        <w:t>In the last RAN1 meeting (R1-10</w:t>
      </w:r>
      <w:r w:rsidR="009F46E7">
        <w:rPr>
          <w:lang w:eastAsia="zh-CN"/>
        </w:rPr>
        <w:t>5</w:t>
      </w:r>
      <w:r w:rsidR="00A30FE8">
        <w:rPr>
          <w:lang w:eastAsia="zh-CN"/>
        </w:rPr>
        <w:t xml:space="preserve">-e), the implementation procedure of </w:t>
      </w:r>
      <w:r w:rsidR="000C21E8">
        <w:rPr>
          <w:lang w:eastAsia="zh-CN"/>
        </w:rPr>
        <w:t>TBoMS was debated</w:t>
      </w:r>
      <w:r>
        <w:rPr>
          <w:lang w:eastAsia="zh-CN"/>
        </w:rPr>
        <w:t xml:space="preserve"> and </w:t>
      </w:r>
      <w:r w:rsidR="00A30FE8">
        <w:rPr>
          <w:lang w:eastAsia="zh-CN"/>
        </w:rPr>
        <w:t>the following agreement</w:t>
      </w:r>
      <w:r w:rsidR="00800FE3">
        <w:rPr>
          <w:lang w:eastAsia="zh-CN"/>
        </w:rPr>
        <w:t>s</w:t>
      </w:r>
      <w:r w:rsidR="00A30FE8">
        <w:rPr>
          <w:lang w:eastAsia="zh-CN"/>
        </w:rPr>
        <w:t xml:space="preserve"> was made</w:t>
      </w:r>
      <w:r w:rsidR="00261B06">
        <w:rPr>
          <w:lang w:eastAsia="zh-CN"/>
        </w:rPr>
        <w:t xml:space="preserve"> [1]</w:t>
      </w:r>
      <w:r>
        <w:rPr>
          <w:lang w:eastAsia="zh-CN"/>
        </w:rPr>
        <w:t>:</w:t>
      </w:r>
    </w:p>
    <w:p w14:paraId="1DFF97B0" w14:textId="77777777" w:rsidR="00741749" w:rsidRPr="003D04A8" w:rsidRDefault="00741749" w:rsidP="00741749">
      <w:pPr>
        <w:rPr>
          <w:highlight w:val="green"/>
          <w:lang w:eastAsia="x-none"/>
        </w:rPr>
      </w:pPr>
      <w:bookmarkStart w:id="1" w:name="_Hlk69477917"/>
      <w:r w:rsidRPr="003D04A8">
        <w:rPr>
          <w:highlight w:val="green"/>
          <w:lang w:eastAsia="x-none"/>
        </w:rPr>
        <w:t>Agreement:</w:t>
      </w:r>
    </w:p>
    <w:bookmarkEnd w:id="1"/>
    <w:p w14:paraId="50473F26" w14:textId="77777777" w:rsidR="009F46E7" w:rsidRPr="0012524E" w:rsidRDefault="009F46E7" w:rsidP="009F46E7">
      <w:pPr>
        <w:jc w:val="both"/>
      </w:pPr>
      <w:r w:rsidRPr="0012524E">
        <w:t>For TBS determination of TBoMS:</w:t>
      </w:r>
    </w:p>
    <w:p w14:paraId="584E7490" w14:textId="77777777" w:rsidR="009F46E7" w:rsidRPr="0012524E" w:rsidRDefault="009F46E7" w:rsidP="00F27FBF">
      <w:pPr>
        <w:pStyle w:val="ListParagraph"/>
        <w:numPr>
          <w:ilvl w:val="0"/>
          <w:numId w:val="26"/>
        </w:numPr>
        <w:overflowPunct/>
        <w:autoSpaceDE/>
        <w:autoSpaceDN/>
        <w:adjustRightInd/>
        <w:jc w:val="both"/>
        <w:textAlignment w:val="auto"/>
      </w:pPr>
      <w:r w:rsidRPr="0012524E">
        <w:rPr>
          <w:i/>
          <w:iCs/>
        </w:rPr>
        <w:t>N</w:t>
      </w:r>
      <w:r w:rsidRPr="0012524E">
        <w:rPr>
          <w:i/>
          <w:iCs/>
          <w:vertAlign w:val="subscript"/>
        </w:rPr>
        <w:t>oh</w:t>
      </w:r>
      <w:r w:rsidRPr="0012524E">
        <w:rPr>
          <w:i/>
          <w:iCs/>
          <w:vertAlign w:val="superscript"/>
        </w:rPr>
        <w:t>PRB</w:t>
      </w:r>
      <w:r w:rsidRPr="0012524E">
        <w:t xml:space="preserve"> is configured by xOverhead and represents the overhead per slot.</w:t>
      </w:r>
    </w:p>
    <w:p w14:paraId="54DA9765" w14:textId="77777777" w:rsidR="009F46E7" w:rsidRPr="0012524E" w:rsidRDefault="009F46E7" w:rsidP="00F27FBF">
      <w:pPr>
        <w:pStyle w:val="ListParagraph"/>
        <w:numPr>
          <w:ilvl w:val="0"/>
          <w:numId w:val="26"/>
        </w:numPr>
        <w:overflowPunct/>
        <w:autoSpaceDE/>
        <w:autoSpaceDN/>
        <w:adjustRightInd/>
        <w:jc w:val="both"/>
        <w:textAlignment w:val="auto"/>
      </w:pPr>
      <w:r w:rsidRPr="0012524E">
        <w:rPr>
          <w:i/>
          <w:iCs/>
        </w:rPr>
        <w:t>N</w:t>
      </w:r>
      <w:r w:rsidRPr="0012524E">
        <w:rPr>
          <w:i/>
          <w:iCs/>
          <w:vertAlign w:val="subscript"/>
        </w:rPr>
        <w:t>oh</w:t>
      </w:r>
      <w:r w:rsidRPr="0012524E">
        <w:rPr>
          <w:i/>
          <w:iCs/>
          <w:vertAlign w:val="superscript"/>
        </w:rPr>
        <w:t>PRB</w:t>
      </w:r>
      <w:r w:rsidRPr="0012524E">
        <w:t xml:space="preserve"> is assumed to be the same for all the slots over which the TBoMS transmission is allocated. </w:t>
      </w:r>
    </w:p>
    <w:p w14:paraId="60EEEAC9" w14:textId="77777777" w:rsidR="009F46E7" w:rsidRPr="0012524E" w:rsidRDefault="009F46E7" w:rsidP="009F46E7">
      <w:pPr>
        <w:jc w:val="both"/>
      </w:pPr>
      <w:r w:rsidRPr="0012524E">
        <w:t>Note: xOverhead configuration is as per Rel-15/16.</w:t>
      </w:r>
    </w:p>
    <w:p w14:paraId="74E13F37" w14:textId="77777777" w:rsidR="00741749" w:rsidRDefault="00741749" w:rsidP="00741749">
      <w:pPr>
        <w:overflowPunct/>
        <w:autoSpaceDE/>
        <w:autoSpaceDN/>
        <w:adjustRightInd/>
        <w:spacing w:after="0" w:line="252" w:lineRule="auto"/>
        <w:jc w:val="both"/>
        <w:textAlignment w:val="auto"/>
        <w:rPr>
          <w:color w:val="000000" w:themeColor="text1"/>
        </w:rPr>
      </w:pPr>
    </w:p>
    <w:p w14:paraId="7766AC1A" w14:textId="77777777" w:rsidR="009F46E7" w:rsidRPr="002866FA" w:rsidRDefault="009F46E7" w:rsidP="009F46E7">
      <w:pPr>
        <w:rPr>
          <w:b/>
          <w:bCs/>
          <w:highlight w:val="darkYellow"/>
        </w:rPr>
      </w:pPr>
      <w:r w:rsidRPr="002866FA">
        <w:rPr>
          <w:b/>
          <w:bCs/>
          <w:highlight w:val="darkYellow"/>
        </w:rPr>
        <w:t>Working assumption</w:t>
      </w:r>
    </w:p>
    <w:p w14:paraId="38E549D2" w14:textId="77777777" w:rsidR="009F46E7" w:rsidRPr="002866FA" w:rsidRDefault="009F46E7" w:rsidP="009F46E7">
      <w:pPr>
        <w:spacing w:line="252" w:lineRule="auto"/>
      </w:pPr>
      <w:r w:rsidRPr="002866FA">
        <w:t xml:space="preserve">A transmission occasion for TBoMS (TOT) is constituted of at least one slot or multiple consecutive physical slots for UL transmission </w:t>
      </w:r>
    </w:p>
    <w:p w14:paraId="4F4DD82D" w14:textId="77777777" w:rsidR="009F46E7" w:rsidRPr="002866FA" w:rsidRDefault="009F46E7" w:rsidP="00F27FBF">
      <w:pPr>
        <w:pStyle w:val="ListParagraph"/>
        <w:numPr>
          <w:ilvl w:val="0"/>
          <w:numId w:val="28"/>
        </w:numPr>
        <w:overflowPunct/>
        <w:autoSpaceDE/>
        <w:autoSpaceDN/>
        <w:adjustRightInd/>
        <w:spacing w:after="0" w:line="252" w:lineRule="auto"/>
        <w:jc w:val="both"/>
        <w:textAlignment w:val="auto"/>
      </w:pPr>
      <w:r w:rsidRPr="002866FA">
        <w:t>FFS: whether the concept of TOT will be used for designing aspects related to signal generation, e.g., rate-matching, power control, etc.</w:t>
      </w:r>
    </w:p>
    <w:p w14:paraId="786B1CD9" w14:textId="77777777" w:rsidR="009F46E7" w:rsidRPr="002866FA" w:rsidRDefault="009F46E7" w:rsidP="00F27FBF">
      <w:pPr>
        <w:pStyle w:val="ListParagraph"/>
        <w:numPr>
          <w:ilvl w:val="0"/>
          <w:numId w:val="28"/>
        </w:numPr>
        <w:overflowPunct/>
        <w:autoSpaceDE/>
        <w:autoSpaceDN/>
        <w:adjustRightInd/>
        <w:spacing w:after="0" w:line="252" w:lineRule="auto"/>
        <w:jc w:val="both"/>
        <w:textAlignment w:val="auto"/>
      </w:pPr>
      <w:r w:rsidRPr="002866FA">
        <w:t>FFS: whether such concept will be specified or not.</w:t>
      </w:r>
    </w:p>
    <w:p w14:paraId="11013BFA" w14:textId="77777777" w:rsidR="009F46E7" w:rsidRPr="002558B0" w:rsidRDefault="009F46E7" w:rsidP="00AF3291">
      <w:pPr>
        <w:jc w:val="both"/>
      </w:pPr>
    </w:p>
    <w:p w14:paraId="703647A9" w14:textId="77777777" w:rsidR="009F46E7" w:rsidRPr="002866FA" w:rsidRDefault="009F46E7" w:rsidP="009F46E7">
      <w:pPr>
        <w:rPr>
          <w:highlight w:val="green"/>
        </w:rPr>
      </w:pPr>
      <w:r w:rsidRPr="002866FA">
        <w:rPr>
          <w:highlight w:val="green"/>
        </w:rPr>
        <w:t>Agreement:</w:t>
      </w:r>
    </w:p>
    <w:p w14:paraId="6D6810BC" w14:textId="77777777" w:rsidR="009F46E7" w:rsidRPr="002866FA" w:rsidRDefault="009F46E7" w:rsidP="00F27FBF">
      <w:pPr>
        <w:numPr>
          <w:ilvl w:val="0"/>
          <w:numId w:val="30"/>
        </w:numPr>
        <w:overflowPunct/>
        <w:autoSpaceDE/>
        <w:autoSpaceDN/>
        <w:adjustRightInd/>
        <w:spacing w:after="0"/>
        <w:textAlignment w:val="auto"/>
      </w:pPr>
      <w:r w:rsidRPr="002866FA">
        <w:t>The structure of TBoMS will be according to only one of these two options (to be down-selected in RAN1#106-e)</w:t>
      </w:r>
    </w:p>
    <w:p w14:paraId="4C56DD54" w14:textId="77777777" w:rsidR="009F46E7" w:rsidRPr="002866FA" w:rsidRDefault="009F46E7" w:rsidP="00F27FBF">
      <w:pPr>
        <w:pStyle w:val="ListParagraph"/>
        <w:numPr>
          <w:ilvl w:val="1"/>
          <w:numId w:val="27"/>
        </w:numPr>
        <w:overflowPunct/>
        <w:autoSpaceDE/>
        <w:autoSpaceDN/>
        <w:adjustRightInd/>
        <w:spacing w:line="256" w:lineRule="auto"/>
        <w:jc w:val="both"/>
        <w:textAlignment w:val="auto"/>
      </w:pPr>
      <w:r w:rsidRPr="002866FA">
        <w:t xml:space="preserve">Option 3, if a design based on single RV is adopted. </w:t>
      </w:r>
    </w:p>
    <w:p w14:paraId="3B75C20C" w14:textId="77777777" w:rsidR="009F46E7" w:rsidRPr="002866FA" w:rsidRDefault="009F46E7" w:rsidP="00F27FBF">
      <w:pPr>
        <w:pStyle w:val="ListParagraph"/>
        <w:numPr>
          <w:ilvl w:val="1"/>
          <w:numId w:val="27"/>
        </w:numPr>
        <w:overflowPunct/>
        <w:autoSpaceDE/>
        <w:autoSpaceDN/>
        <w:adjustRightInd/>
        <w:spacing w:line="256" w:lineRule="auto"/>
        <w:jc w:val="both"/>
        <w:textAlignment w:val="auto"/>
      </w:pPr>
      <w:r w:rsidRPr="002866FA">
        <w:t xml:space="preserve">Option 4, if a design based on different RVs is adopted. </w:t>
      </w:r>
    </w:p>
    <w:p w14:paraId="2FA21ABB" w14:textId="77777777" w:rsidR="009F46E7" w:rsidRPr="002866FA" w:rsidRDefault="009F46E7" w:rsidP="00F27FBF">
      <w:pPr>
        <w:numPr>
          <w:ilvl w:val="0"/>
          <w:numId w:val="27"/>
        </w:numPr>
        <w:overflowPunct/>
        <w:autoSpaceDE/>
        <w:autoSpaceDN/>
        <w:adjustRightInd/>
        <w:spacing w:after="0"/>
        <w:textAlignment w:val="auto"/>
      </w:pPr>
      <w:r w:rsidRPr="002866FA">
        <w:t xml:space="preserve">FFS: other details, e.g., rate-matching, TBS determination, collision handling, etc. </w:t>
      </w:r>
    </w:p>
    <w:p w14:paraId="78E83FA3" w14:textId="77777777" w:rsidR="009F46E7" w:rsidRPr="002866FA" w:rsidRDefault="009F46E7" w:rsidP="00F27FBF">
      <w:pPr>
        <w:numPr>
          <w:ilvl w:val="0"/>
          <w:numId w:val="27"/>
        </w:numPr>
        <w:overflowPunct/>
        <w:autoSpaceDE/>
        <w:autoSpaceDN/>
        <w:adjustRightInd/>
        <w:spacing w:after="0"/>
        <w:textAlignment w:val="auto"/>
      </w:pPr>
      <w:r w:rsidRPr="002866FA">
        <w:t>The single RV is not constrained to have only the same coded bits in each slot or in each TOT</w:t>
      </w:r>
    </w:p>
    <w:p w14:paraId="00DE49E7" w14:textId="77777777" w:rsidR="009F46E7" w:rsidRPr="002866FA" w:rsidRDefault="009F46E7" w:rsidP="00F27FBF">
      <w:pPr>
        <w:numPr>
          <w:ilvl w:val="0"/>
          <w:numId w:val="27"/>
        </w:numPr>
        <w:overflowPunct/>
        <w:autoSpaceDE/>
        <w:autoSpaceDN/>
        <w:adjustRightInd/>
        <w:spacing w:after="0"/>
        <w:textAlignment w:val="auto"/>
      </w:pPr>
      <w:r w:rsidRPr="002866FA">
        <w:t xml:space="preserve">The concept of TOT as per the corresponding Working assumption is used to define Option 3 and Option 4 and may or may not be used to design other details, e.g., rate-matching, TBS determination, collision handling and so on. </w:t>
      </w:r>
    </w:p>
    <w:p w14:paraId="42A7B366" w14:textId="77777777" w:rsidR="009F46E7" w:rsidRDefault="009F46E7" w:rsidP="009F46E7"/>
    <w:p w14:paraId="369A2F97" w14:textId="77777777" w:rsidR="009F46E7" w:rsidRPr="00740B68" w:rsidRDefault="009F46E7" w:rsidP="009F46E7">
      <w:pPr>
        <w:rPr>
          <w:highlight w:val="green"/>
        </w:rPr>
      </w:pPr>
      <w:r w:rsidRPr="00740B68">
        <w:rPr>
          <w:highlight w:val="green"/>
        </w:rPr>
        <w:t>Agreement:</w:t>
      </w:r>
    </w:p>
    <w:p w14:paraId="54207E09" w14:textId="77777777" w:rsidR="009F46E7" w:rsidRPr="00740B68" w:rsidRDefault="009F46E7" w:rsidP="009F46E7">
      <w:pPr>
        <w:spacing w:line="252" w:lineRule="auto"/>
        <w:rPr>
          <w:rFonts w:eastAsia="Times New Roman"/>
        </w:rPr>
      </w:pPr>
      <w:r w:rsidRPr="00740B68">
        <w:rPr>
          <w:rFonts w:eastAsia="Times New Roman"/>
        </w:rPr>
        <w:t xml:space="preserve">Time domain resource determination for TBoMS can be performed only via PUSCH repetition Type A like TDRA. </w:t>
      </w:r>
    </w:p>
    <w:p w14:paraId="7D8FF25D" w14:textId="77777777" w:rsidR="009F46E7" w:rsidRPr="00740B68" w:rsidRDefault="009F46E7" w:rsidP="00F27FBF">
      <w:pPr>
        <w:numPr>
          <w:ilvl w:val="0"/>
          <w:numId w:val="31"/>
        </w:numPr>
        <w:overflowPunct/>
        <w:autoSpaceDE/>
        <w:autoSpaceDN/>
        <w:adjustRightInd/>
        <w:spacing w:after="0" w:line="252" w:lineRule="auto"/>
        <w:textAlignment w:val="auto"/>
        <w:rPr>
          <w:rFonts w:eastAsia="Times New Roman"/>
        </w:rPr>
      </w:pPr>
      <w:r w:rsidRPr="00740B68">
        <w:rPr>
          <w:rFonts w:eastAsia="Times New Roman"/>
        </w:rPr>
        <w:t>FFS: details</w:t>
      </w:r>
    </w:p>
    <w:p w14:paraId="1651C47C" w14:textId="77777777" w:rsidR="009F46E7" w:rsidRPr="00740B68" w:rsidRDefault="009F46E7" w:rsidP="00F27FBF">
      <w:pPr>
        <w:numPr>
          <w:ilvl w:val="0"/>
          <w:numId w:val="31"/>
        </w:numPr>
        <w:overflowPunct/>
        <w:autoSpaceDE/>
        <w:autoSpaceDN/>
        <w:adjustRightInd/>
        <w:spacing w:after="0"/>
        <w:textAlignment w:val="auto"/>
        <w:rPr>
          <w:rFonts w:eastAsia="MS Mincho"/>
        </w:rPr>
      </w:pPr>
      <w:r w:rsidRPr="00740B68">
        <w:t xml:space="preserve">FFS: whether or not optimizations </w:t>
      </w:r>
      <w:r w:rsidRPr="00740B68">
        <w:rPr>
          <w:rFonts w:eastAsia="Times New Roman"/>
        </w:rPr>
        <w:t xml:space="preserve">for time domain resource determination </w:t>
      </w:r>
      <w:r w:rsidRPr="00740B68">
        <w:t xml:space="preserve">are necessary for allocating resource in the S slots (for the unpaired spectrum case) </w:t>
      </w:r>
    </w:p>
    <w:p w14:paraId="3DDAC6E6" w14:textId="77777777" w:rsidR="009F46E7" w:rsidRDefault="009F46E7" w:rsidP="009F46E7"/>
    <w:p w14:paraId="0D0D3B5A" w14:textId="77777777" w:rsidR="009F46E7" w:rsidRPr="00740B68" w:rsidRDefault="009F46E7" w:rsidP="009F46E7">
      <w:pPr>
        <w:rPr>
          <w:b/>
          <w:bCs/>
          <w:highlight w:val="darkYellow"/>
        </w:rPr>
      </w:pPr>
      <w:r w:rsidRPr="00740B68">
        <w:rPr>
          <w:b/>
          <w:bCs/>
          <w:highlight w:val="darkYellow"/>
        </w:rPr>
        <w:t>Working assumption</w:t>
      </w:r>
    </w:p>
    <w:p w14:paraId="4FAA9E59" w14:textId="77777777" w:rsidR="009F46E7" w:rsidRPr="00740B68" w:rsidRDefault="009F46E7" w:rsidP="009F46E7">
      <w:r w:rsidRPr="00740B68">
        <w:t>Allocating resources for TBoMS in the special slot in TDD is possible according to the agreed time domain resource determination for TBoMS.</w:t>
      </w:r>
    </w:p>
    <w:p w14:paraId="3B1C75A0" w14:textId="77777777" w:rsidR="009F46E7" w:rsidRPr="00847921" w:rsidRDefault="009F46E7" w:rsidP="009F46E7">
      <w:pPr>
        <w:rPr>
          <w:highlight w:val="green"/>
        </w:rPr>
      </w:pPr>
      <w:r w:rsidRPr="00847921">
        <w:rPr>
          <w:highlight w:val="green"/>
        </w:rPr>
        <w:lastRenderedPageBreak/>
        <w:t>Agreement:</w:t>
      </w:r>
    </w:p>
    <w:p w14:paraId="4DD9453B" w14:textId="77777777" w:rsidR="009F46E7" w:rsidRPr="00847921" w:rsidRDefault="009F46E7" w:rsidP="009F46E7">
      <w:r w:rsidRPr="00847921">
        <w:t>The following three options for rate-matching for TBoMS are considered for down-selection during RAN1 #106-e, where only one option will be selected:</w:t>
      </w:r>
    </w:p>
    <w:p w14:paraId="2341B490" w14:textId="77777777" w:rsidR="009F46E7" w:rsidRPr="00847921" w:rsidRDefault="009F46E7" w:rsidP="00F27FBF">
      <w:pPr>
        <w:pStyle w:val="ListParagraph"/>
        <w:numPr>
          <w:ilvl w:val="0"/>
          <w:numId w:val="29"/>
        </w:numPr>
        <w:overflowPunct/>
        <w:autoSpaceDE/>
        <w:autoSpaceDN/>
        <w:adjustRightInd/>
        <w:spacing w:line="256" w:lineRule="auto"/>
        <w:jc w:val="both"/>
        <w:textAlignment w:val="auto"/>
      </w:pPr>
      <w:r w:rsidRPr="00847921">
        <w:t>Option a: Rate-matching is performed per slot;</w:t>
      </w:r>
    </w:p>
    <w:p w14:paraId="2AB8C0C5" w14:textId="77777777" w:rsidR="009F46E7" w:rsidRPr="00847921" w:rsidRDefault="009F46E7" w:rsidP="00F27FBF">
      <w:pPr>
        <w:pStyle w:val="ListParagraph"/>
        <w:numPr>
          <w:ilvl w:val="0"/>
          <w:numId w:val="29"/>
        </w:numPr>
        <w:overflowPunct/>
        <w:autoSpaceDE/>
        <w:autoSpaceDN/>
        <w:adjustRightInd/>
        <w:spacing w:line="256" w:lineRule="auto"/>
        <w:jc w:val="both"/>
        <w:textAlignment w:val="auto"/>
      </w:pPr>
      <w:r w:rsidRPr="00847921">
        <w:t>Option b: Rate matching is performed continuously across all the allocated slot(s) per TOT;</w:t>
      </w:r>
    </w:p>
    <w:p w14:paraId="0CC811D9" w14:textId="77777777" w:rsidR="009F46E7" w:rsidRPr="00847921" w:rsidRDefault="009F46E7" w:rsidP="00F27FBF">
      <w:pPr>
        <w:pStyle w:val="ListParagraph"/>
        <w:numPr>
          <w:ilvl w:val="0"/>
          <w:numId w:val="29"/>
        </w:numPr>
        <w:overflowPunct/>
        <w:autoSpaceDE/>
        <w:autoSpaceDN/>
        <w:adjustRightInd/>
        <w:spacing w:line="256" w:lineRule="auto"/>
        <w:jc w:val="both"/>
        <w:textAlignment w:val="auto"/>
      </w:pPr>
      <w:r w:rsidRPr="00847921">
        <w:t>Option c: Rate matching is performed continuously across all the allocated slots/TOTs for TBoMS</w:t>
      </w:r>
    </w:p>
    <w:p w14:paraId="726161DC" w14:textId="77777777" w:rsidR="009F46E7" w:rsidRPr="00847921" w:rsidRDefault="009F46E7" w:rsidP="009F46E7">
      <w:r w:rsidRPr="00847921">
        <w:t>Note: “</w:t>
      </w:r>
      <w:r w:rsidRPr="00847921">
        <w:rPr>
          <w:lang w:eastAsia="zh-CN"/>
        </w:rPr>
        <w:t>rate-matching is performed per X” means that the time unit for the</w:t>
      </w:r>
      <w:r w:rsidRPr="00847921">
        <w:t xml:space="preserve"> bit selection and bit interleaving is X. </w:t>
      </w:r>
    </w:p>
    <w:p w14:paraId="71F695DA" w14:textId="3312CC9F" w:rsidR="009F46E7" w:rsidRDefault="009F46E7" w:rsidP="009F46E7">
      <w:r w:rsidRPr="00847921">
        <w:t>Note2: the above 3 options imply that the UL resource in the time unit may or may not be consecutive (depending on the given option)</w:t>
      </w:r>
    </w:p>
    <w:p w14:paraId="1BDFCB6D" w14:textId="77777777" w:rsidR="009F46E7" w:rsidRPr="002E1BDD" w:rsidRDefault="009F46E7" w:rsidP="009F46E7">
      <w:pPr>
        <w:rPr>
          <w:highlight w:val="green"/>
        </w:rPr>
      </w:pPr>
      <w:r w:rsidRPr="002E1BDD">
        <w:rPr>
          <w:highlight w:val="green"/>
        </w:rPr>
        <w:t>Agreement:</w:t>
      </w:r>
    </w:p>
    <w:p w14:paraId="56FFB61F" w14:textId="77777777" w:rsidR="009F46E7" w:rsidRPr="002E1BDD" w:rsidRDefault="009F46E7" w:rsidP="009F46E7">
      <w:r w:rsidRPr="002E1BDD">
        <w:t>Number of slots allocated for TBoMS is determined by using a row index of a TDRA list, configured via RRC.</w:t>
      </w:r>
    </w:p>
    <w:p w14:paraId="0B16427F" w14:textId="2122E97C" w:rsidR="009F46E7" w:rsidRDefault="009F46E7" w:rsidP="00F27FBF">
      <w:pPr>
        <w:numPr>
          <w:ilvl w:val="0"/>
          <w:numId w:val="34"/>
        </w:numPr>
        <w:overflowPunct/>
        <w:autoSpaceDE/>
        <w:autoSpaceDN/>
        <w:adjustRightInd/>
        <w:spacing w:after="0"/>
        <w:textAlignment w:val="auto"/>
      </w:pPr>
      <w:r w:rsidRPr="002E1BDD">
        <w:t>FFS: details.</w:t>
      </w:r>
    </w:p>
    <w:p w14:paraId="5363F923" w14:textId="77777777" w:rsidR="009F46E7" w:rsidRDefault="009F46E7" w:rsidP="009F46E7">
      <w:pPr>
        <w:overflowPunct/>
        <w:autoSpaceDE/>
        <w:autoSpaceDN/>
        <w:adjustRightInd/>
        <w:spacing w:after="0"/>
        <w:ind w:left="360"/>
        <w:textAlignment w:val="auto"/>
      </w:pPr>
    </w:p>
    <w:p w14:paraId="0C30FEC1" w14:textId="2C67C241" w:rsidR="009F46E7" w:rsidRPr="00AF07C0" w:rsidRDefault="009F46E7" w:rsidP="009F46E7">
      <w:r w:rsidRPr="00AF07C0">
        <w:rPr>
          <w:highlight w:val="green"/>
        </w:rPr>
        <w:t>Agreement:</w:t>
      </w:r>
    </w:p>
    <w:p w14:paraId="67E217A1" w14:textId="2393FD00" w:rsidR="009F46E7" w:rsidRPr="00AF07C0" w:rsidRDefault="009F46E7" w:rsidP="009F46E7">
      <w:r w:rsidRPr="00AF07C0">
        <w:t>The following approach is used to calculate</w:t>
      </w:r>
      <w:r w:rsidRPr="00AF07C0">
        <w:rPr>
          <w:lang w:val="fr-FR"/>
        </w:rPr>
        <w:t> </w:t>
      </w:r>
      <w:r w:rsidRPr="00AF07C0">
        <w:t>N</w:t>
      </w:r>
      <w:r w:rsidRPr="00AF07C0">
        <w:rPr>
          <w:vertAlign w:val="subscript"/>
        </w:rPr>
        <w:t>Info</w:t>
      </w:r>
      <w:r w:rsidRPr="00AF07C0">
        <w:t xml:space="preserve"> for TBoMS:</w:t>
      </w:r>
    </w:p>
    <w:p w14:paraId="67B1595F" w14:textId="77777777" w:rsidR="009F46E7" w:rsidRPr="00AF07C0" w:rsidRDefault="009F46E7" w:rsidP="00F27FBF">
      <w:pPr>
        <w:numPr>
          <w:ilvl w:val="0"/>
          <w:numId w:val="32"/>
        </w:numPr>
        <w:overflowPunct/>
        <w:autoSpaceDE/>
        <w:autoSpaceDN/>
        <w:adjustRightInd/>
        <w:snapToGrid w:val="0"/>
        <w:spacing w:after="0" w:line="60" w:lineRule="atLeast"/>
        <w:ind w:left="714" w:hanging="357"/>
        <w:jc w:val="both"/>
        <w:textAlignment w:val="auto"/>
        <w:rPr>
          <w:rFonts w:ascii="Calibri" w:hAnsi="Calibri" w:cs="Calibri"/>
        </w:rPr>
      </w:pPr>
      <w:r w:rsidRPr="00AF07C0">
        <w:t>Approach 2: Based on the number of REs determined in the first L symbols over which the TBoMS transmission is allocated, scaled by K≥1.</w:t>
      </w:r>
    </w:p>
    <w:p w14:paraId="19BE8235" w14:textId="77777777" w:rsidR="009F46E7" w:rsidRPr="00AF07C0" w:rsidRDefault="009F46E7" w:rsidP="00F27FBF">
      <w:pPr>
        <w:numPr>
          <w:ilvl w:val="1"/>
          <w:numId w:val="33"/>
        </w:numPr>
        <w:overflowPunct/>
        <w:autoSpaceDE/>
        <w:autoSpaceDN/>
        <w:adjustRightInd/>
        <w:snapToGrid w:val="0"/>
        <w:spacing w:after="0" w:line="60" w:lineRule="atLeast"/>
        <w:ind w:left="1071" w:hanging="357"/>
        <w:jc w:val="both"/>
        <w:textAlignment w:val="auto"/>
      </w:pPr>
      <w:r w:rsidRPr="00AF07C0">
        <w:t>FFS: the definition of K.</w:t>
      </w:r>
    </w:p>
    <w:p w14:paraId="5DA27130" w14:textId="77777777" w:rsidR="009F46E7" w:rsidRPr="00AF07C0" w:rsidRDefault="009F46E7" w:rsidP="009F46E7">
      <w:pPr>
        <w:rPr>
          <w:rFonts w:ascii="Calibri" w:hAnsi="Calibri" w:cs="Calibri"/>
        </w:rPr>
      </w:pPr>
      <w:r w:rsidRPr="00AF07C0">
        <w:t>L is the number of symbols determined using the SLIV of PUSCH indicated via TDRA</w:t>
      </w:r>
    </w:p>
    <w:p w14:paraId="3BDD3234" w14:textId="77777777" w:rsidR="009F46E7" w:rsidRPr="00AF07C0" w:rsidRDefault="009F46E7" w:rsidP="009F46E7">
      <w:r w:rsidRPr="00AF07C0">
        <w:t>FFS: impacts and further details if repetitions of TBoMS is supported.</w:t>
      </w:r>
    </w:p>
    <w:p w14:paraId="2FDBC0B8" w14:textId="77777777" w:rsidR="009F46E7" w:rsidRPr="00AF07C0" w:rsidRDefault="009F46E7" w:rsidP="009F46E7">
      <w:r w:rsidRPr="00AF07C0">
        <w:t>FFS: whether the symbols over which the TBoMS transmission is allocated are the same or can be different from the symbols over which the TBoMS transmission is performed, and details on how to handle such scenarios.</w:t>
      </w:r>
    </w:p>
    <w:p w14:paraId="191777F3" w14:textId="45493EE4" w:rsidR="00AF3291" w:rsidRDefault="00AF3291" w:rsidP="00AF3291">
      <w:pPr>
        <w:overflowPunct/>
        <w:autoSpaceDE/>
        <w:autoSpaceDN/>
        <w:adjustRightInd/>
        <w:spacing w:line="252" w:lineRule="auto"/>
        <w:jc w:val="both"/>
        <w:textAlignment w:val="auto"/>
        <w:rPr>
          <w:rFonts w:eastAsia="Times New Roman"/>
        </w:rPr>
      </w:pPr>
      <w:r>
        <w:rPr>
          <w:rFonts w:eastAsia="Times New Roman"/>
        </w:rPr>
        <w:t>In this meeting we try to put in perspective the TBoMS implementation and try to respond to the pending aspects in the last meeting.</w:t>
      </w:r>
    </w:p>
    <w:p w14:paraId="2E3BC033" w14:textId="31CAB05C" w:rsidR="00AF3291" w:rsidRDefault="00AF3291" w:rsidP="00AF3291">
      <w:pPr>
        <w:overflowPunct/>
        <w:autoSpaceDE/>
        <w:autoSpaceDN/>
        <w:adjustRightInd/>
        <w:spacing w:line="252" w:lineRule="auto"/>
        <w:jc w:val="both"/>
        <w:textAlignment w:val="auto"/>
        <w:rPr>
          <w:rFonts w:eastAsia="Times New Roman"/>
        </w:rPr>
      </w:pPr>
    </w:p>
    <w:p w14:paraId="25FE8CEB" w14:textId="21327549" w:rsidR="00AF3291" w:rsidRPr="00014179" w:rsidRDefault="00AF3291" w:rsidP="00014179">
      <w:pPr>
        <w:pStyle w:val="Heading1"/>
        <w:rPr>
          <w:rFonts w:ascii="Times New Roman" w:hAnsi="Times New Roman"/>
        </w:rPr>
      </w:pPr>
      <w:r w:rsidRPr="00014179">
        <w:rPr>
          <w:rFonts w:ascii="Times New Roman" w:hAnsi="Times New Roman"/>
        </w:rPr>
        <w:t>TB</w:t>
      </w:r>
      <w:r w:rsidR="005A34A5" w:rsidRPr="00014179">
        <w:rPr>
          <w:rFonts w:ascii="Times New Roman" w:hAnsi="Times New Roman"/>
        </w:rPr>
        <w:t xml:space="preserve"> processing </w:t>
      </w:r>
      <w:r w:rsidRPr="00014179">
        <w:rPr>
          <w:rFonts w:ascii="Times New Roman" w:hAnsi="Times New Roman"/>
        </w:rPr>
        <w:t>o</w:t>
      </w:r>
      <w:r w:rsidR="005A34A5" w:rsidRPr="00014179">
        <w:rPr>
          <w:rFonts w:ascii="Times New Roman" w:hAnsi="Times New Roman"/>
        </w:rPr>
        <w:t>ver multi-slot (TBoMS)</w:t>
      </w:r>
    </w:p>
    <w:p w14:paraId="550B0DCB" w14:textId="06D494A0" w:rsidR="00C859E0" w:rsidRDefault="00C859E0" w:rsidP="00C859E0">
      <w:pPr>
        <w:overflowPunct/>
        <w:autoSpaceDE/>
        <w:autoSpaceDN/>
        <w:adjustRightInd/>
        <w:spacing w:line="252" w:lineRule="auto"/>
        <w:jc w:val="both"/>
        <w:textAlignment w:val="auto"/>
        <w:rPr>
          <w:lang w:val="en-GB"/>
        </w:rPr>
      </w:pPr>
      <w:r>
        <w:rPr>
          <w:rFonts w:eastAsia="Times New Roman"/>
        </w:rPr>
        <w:t xml:space="preserve">TBoMS is mainly motivated to enhance coverage by spreading the TB on multiple slots and reducing the higher layer load. Sustained scheduling of single TB belonging to cell edge UEs over multiple slots will ensure the coverage.  The benefits of using TBoMS was demonstrated in many of the contributions. </w:t>
      </w:r>
      <w:r>
        <w:rPr>
          <w:lang w:val="en-GB"/>
        </w:rPr>
        <w:t xml:space="preserve">In this document we discuss about the pending issues on the TBoMS. </w:t>
      </w:r>
    </w:p>
    <w:p w14:paraId="67602E6B" w14:textId="77777777" w:rsidR="00BB3CF5" w:rsidRDefault="00BB3CF5" w:rsidP="00C859E0">
      <w:pPr>
        <w:jc w:val="both"/>
        <w:rPr>
          <w:b/>
          <w:i/>
          <w:lang w:val="en-GB"/>
        </w:rPr>
      </w:pPr>
    </w:p>
    <w:p w14:paraId="62AEC091" w14:textId="555B05BF" w:rsidR="00FE1033" w:rsidRDefault="00FE1033" w:rsidP="00F456D9">
      <w:pPr>
        <w:pStyle w:val="Heading2"/>
        <w:rPr>
          <w:rFonts w:ascii="Times New Roman" w:hAnsi="Times New Roman"/>
        </w:rPr>
      </w:pPr>
      <w:r w:rsidRPr="00F456D9">
        <w:rPr>
          <w:rFonts w:ascii="Times New Roman" w:hAnsi="Times New Roman"/>
        </w:rPr>
        <w:t>Implementation issues of TBoMS</w:t>
      </w:r>
    </w:p>
    <w:p w14:paraId="73909BC7" w14:textId="3F0660EC" w:rsidR="003E3C56" w:rsidRDefault="003E3C56" w:rsidP="00F27FBF">
      <w:pPr>
        <w:jc w:val="both"/>
        <w:rPr>
          <w:lang w:val="en-GB"/>
        </w:rPr>
      </w:pPr>
      <w:r>
        <w:rPr>
          <w:lang w:val="en-GB"/>
        </w:rPr>
        <w:t xml:space="preserve">The implementation aspects of TBoMS </w:t>
      </w:r>
      <w:r w:rsidR="008642DF">
        <w:rPr>
          <w:lang w:val="en-GB"/>
        </w:rPr>
        <w:t xml:space="preserve">that </w:t>
      </w:r>
      <w:r>
        <w:rPr>
          <w:lang w:val="en-GB"/>
        </w:rPr>
        <w:t>has to be addressed in this meeting</w:t>
      </w:r>
      <w:r w:rsidR="008642DF">
        <w:rPr>
          <w:lang w:val="en-GB"/>
        </w:rPr>
        <w:t xml:space="preserve"> are: structure </w:t>
      </w:r>
      <w:r w:rsidR="00E3283A">
        <w:rPr>
          <w:lang w:val="en-GB"/>
        </w:rPr>
        <w:t xml:space="preserve">of TBoMS </w:t>
      </w:r>
      <w:r w:rsidR="008642DF">
        <w:rPr>
          <w:lang w:val="en-GB"/>
        </w:rPr>
        <w:t>and rate-matching</w:t>
      </w:r>
      <w:r>
        <w:rPr>
          <w:lang w:val="en-GB"/>
        </w:rPr>
        <w:t>. It is expect</w:t>
      </w:r>
      <w:r w:rsidR="008642DF">
        <w:rPr>
          <w:lang w:val="en-GB"/>
        </w:rPr>
        <w:t>ed</w:t>
      </w:r>
      <w:r>
        <w:rPr>
          <w:lang w:val="en-GB"/>
        </w:rPr>
        <w:t xml:space="preserve"> to downselect one </w:t>
      </w:r>
      <w:r w:rsidR="008642DF">
        <w:rPr>
          <w:lang w:val="en-GB"/>
        </w:rPr>
        <w:t>structure for TBoMS</w:t>
      </w:r>
      <w:r>
        <w:rPr>
          <w:lang w:val="en-GB"/>
        </w:rPr>
        <w:t xml:space="preserve"> from either option-3 or option-4. Option-3 follows single RV based approach </w:t>
      </w:r>
      <w:r w:rsidR="00F27FBF">
        <w:rPr>
          <w:lang w:val="en-GB"/>
        </w:rPr>
        <w:t>and the decision has to be take</w:t>
      </w:r>
      <w:r w:rsidR="008642DF">
        <w:rPr>
          <w:lang w:val="en-GB"/>
        </w:rPr>
        <w:t>n</w:t>
      </w:r>
      <w:r w:rsidR="00F27FBF">
        <w:rPr>
          <w:lang w:val="en-GB"/>
        </w:rPr>
        <w:t xml:space="preserve"> on the duration over which single RV</w:t>
      </w:r>
      <w:r w:rsidR="008642DF">
        <w:rPr>
          <w:lang w:val="en-GB"/>
        </w:rPr>
        <w:t xml:space="preserve"> is maintained</w:t>
      </w:r>
      <w:r w:rsidR="00F27FBF">
        <w:rPr>
          <w:lang w:val="en-GB"/>
        </w:rPr>
        <w:t>. According to option-3, TBoMS is spread over multiple TOTs and the rate-matching procedure is yet to be decided whether to carry out e</w:t>
      </w:r>
      <w:r w:rsidR="008642DF">
        <w:rPr>
          <w:lang w:val="en-GB"/>
        </w:rPr>
        <w:t xml:space="preserve">ach TOT or across all slots. As </w:t>
      </w:r>
      <w:r w:rsidR="00F27FBF">
        <w:rPr>
          <w:lang w:val="en-GB"/>
        </w:rPr>
        <w:t xml:space="preserve">option-3 restricts to use single RV </w:t>
      </w:r>
      <w:r w:rsidR="008642DF">
        <w:rPr>
          <w:lang w:val="en-GB"/>
        </w:rPr>
        <w:t xml:space="preserve">over multiple PUSCH transmissions, UE has to maintain the indexing of the bits that are scheduled in the previous PUSCH transmission (if not the whole rate-matched output). </w:t>
      </w:r>
      <w:r w:rsidR="00F27FBF">
        <w:rPr>
          <w:lang w:val="en-GB"/>
        </w:rPr>
        <w:t>Thus selecting option-3 will reduces the flexibility on the rate-matching operation</w:t>
      </w:r>
      <w:r w:rsidR="008642DF">
        <w:rPr>
          <w:lang w:val="en-GB"/>
        </w:rPr>
        <w:t xml:space="preserve"> and UE is expected to keep track of the portions of the data being transmitted in each slot/transmission</w:t>
      </w:r>
      <w:r w:rsidR="00F27FBF">
        <w:rPr>
          <w:lang w:val="en-GB"/>
        </w:rPr>
        <w:t xml:space="preserve">. On the other side, option-4 </w:t>
      </w:r>
      <w:r w:rsidR="008642DF">
        <w:rPr>
          <w:lang w:val="en-GB"/>
        </w:rPr>
        <w:t xml:space="preserve">along with option-a rate-matching </w:t>
      </w:r>
      <w:r w:rsidR="00F27FBF">
        <w:rPr>
          <w:lang w:val="en-GB"/>
        </w:rPr>
        <w:t xml:space="preserve">will be more flexible </w:t>
      </w:r>
      <w:r w:rsidR="008642DF">
        <w:rPr>
          <w:lang w:val="en-GB"/>
        </w:rPr>
        <w:t>from</w:t>
      </w:r>
      <w:r w:rsidR="00F13399">
        <w:rPr>
          <w:lang w:val="en-GB"/>
        </w:rPr>
        <w:t xml:space="preserve"> the UE perspective. The</w:t>
      </w:r>
      <w:r w:rsidR="008642DF">
        <w:rPr>
          <w:lang w:val="en-GB"/>
        </w:rPr>
        <w:t xml:space="preserve"> option-a rate-matching</w:t>
      </w:r>
      <w:r w:rsidR="00F13399">
        <w:rPr>
          <w:lang w:val="en-GB"/>
        </w:rPr>
        <w:t xml:space="preserve"> which is under consideration</w:t>
      </w:r>
      <w:r w:rsidR="008642DF">
        <w:rPr>
          <w:lang w:val="en-GB"/>
        </w:rPr>
        <w:t xml:space="preserve"> allows rate-matching per slot. </w:t>
      </w:r>
      <w:r w:rsidR="00F13399">
        <w:rPr>
          <w:lang w:val="en-GB"/>
        </w:rPr>
        <w:t>Thus by enabling rate-matching</w:t>
      </w:r>
      <w:r w:rsidR="008642DF">
        <w:rPr>
          <w:lang w:val="en-GB"/>
        </w:rPr>
        <w:t xml:space="preserve"> </w:t>
      </w:r>
      <w:r w:rsidR="00F13399">
        <w:rPr>
          <w:lang w:val="en-GB"/>
        </w:rPr>
        <w:t xml:space="preserve">on </w:t>
      </w:r>
      <w:r w:rsidR="008642DF">
        <w:rPr>
          <w:lang w:val="en-GB"/>
        </w:rPr>
        <w:t>each slot in type-A repetition makes each PUSCH transmission independent. So the</w:t>
      </w:r>
      <w:r w:rsidR="00F27FBF">
        <w:rPr>
          <w:lang w:val="en-GB"/>
        </w:rPr>
        <w:t xml:space="preserve"> UE will have the freedom of generating each PUSCH transmission within TBoMS </w:t>
      </w:r>
      <w:r w:rsidR="00F13399">
        <w:rPr>
          <w:lang w:val="en-GB"/>
        </w:rPr>
        <w:t xml:space="preserve">duration </w:t>
      </w:r>
      <w:r w:rsidR="00F27FBF">
        <w:rPr>
          <w:lang w:val="en-GB"/>
        </w:rPr>
        <w:t xml:space="preserve">independently without any burden </w:t>
      </w:r>
      <w:r w:rsidR="008642DF">
        <w:rPr>
          <w:lang w:val="en-GB"/>
        </w:rPr>
        <w:t xml:space="preserve">memorizing the data (or its indexing) that is assigned in the previous slot (or </w:t>
      </w:r>
      <w:r w:rsidR="004D4F48">
        <w:rPr>
          <w:lang w:val="en-GB"/>
        </w:rPr>
        <w:t xml:space="preserve">previous </w:t>
      </w:r>
      <w:r w:rsidR="008642DF">
        <w:rPr>
          <w:lang w:val="en-GB"/>
        </w:rPr>
        <w:t>PUSCH transmission)</w:t>
      </w:r>
      <w:r w:rsidR="00F27FBF">
        <w:rPr>
          <w:lang w:val="en-GB"/>
        </w:rPr>
        <w:t xml:space="preserve">. </w:t>
      </w:r>
      <w:r w:rsidR="008642DF">
        <w:rPr>
          <w:lang w:val="en-GB"/>
        </w:rPr>
        <w:t xml:space="preserve">We have presented the simulation results for </w:t>
      </w:r>
      <w:r w:rsidR="008642DF">
        <w:rPr>
          <w:lang w:val="en-GB"/>
        </w:rPr>
        <w:lastRenderedPageBreak/>
        <w:t xml:space="preserve">both continuous (option-3 with single RV) and segmented approach (option-4 with multiple RV) in the last meeting [2]. </w:t>
      </w:r>
      <w:r w:rsidR="0074644D">
        <w:rPr>
          <w:lang w:val="en-GB"/>
        </w:rPr>
        <w:t xml:space="preserve">It is </w:t>
      </w:r>
      <w:r w:rsidR="00741BC4">
        <w:rPr>
          <w:lang w:val="en-GB"/>
        </w:rPr>
        <w:t>observed that the performance of both approaches is similar in the low code-rates. At lower code-rates, multiple RVs doesn’t result any additional gain compared to the single RV. For cell-edge UEs it is fair to consider low code-rates. But based on the flexibility it offers,</w:t>
      </w:r>
      <w:r w:rsidR="00F27FBF">
        <w:rPr>
          <w:lang w:val="en-GB"/>
        </w:rPr>
        <w:t xml:space="preserve"> we prefer option-4</w:t>
      </w:r>
      <w:r w:rsidR="00741BC4">
        <w:rPr>
          <w:lang w:val="en-GB"/>
        </w:rPr>
        <w:t xml:space="preserve"> (with different RVs) along with the rate-matching per slot (option-a) approach</w:t>
      </w:r>
      <w:r w:rsidR="00F27FBF">
        <w:rPr>
          <w:lang w:val="en-GB"/>
        </w:rPr>
        <w:t xml:space="preserve">. </w:t>
      </w:r>
      <w:bookmarkStart w:id="2" w:name="_GoBack"/>
      <w:bookmarkEnd w:id="2"/>
    </w:p>
    <w:p w14:paraId="1D297221" w14:textId="724E6ED7" w:rsidR="00F27FBF" w:rsidRDefault="00741BC4" w:rsidP="00F27FBF">
      <w:pPr>
        <w:jc w:val="both"/>
        <w:rPr>
          <w:b/>
          <w:i/>
          <w:lang w:val="en-GB"/>
        </w:rPr>
      </w:pPr>
      <w:r>
        <w:rPr>
          <w:b/>
          <w:i/>
          <w:lang w:val="en-GB"/>
        </w:rPr>
        <w:t>Proposal 1</w:t>
      </w:r>
      <w:r w:rsidR="00F27FBF" w:rsidRPr="00FE1033">
        <w:rPr>
          <w:b/>
          <w:i/>
          <w:lang w:val="en-GB"/>
        </w:rPr>
        <w:t xml:space="preserve">: </w:t>
      </w:r>
      <w:r w:rsidR="00F5000A">
        <w:rPr>
          <w:b/>
          <w:i/>
          <w:lang w:val="en-GB"/>
        </w:rPr>
        <w:t>O</w:t>
      </w:r>
      <w:r w:rsidR="00F27FBF">
        <w:rPr>
          <w:b/>
          <w:i/>
          <w:lang w:val="en-GB"/>
        </w:rPr>
        <w:t xml:space="preserve">ption-4 to be </w:t>
      </w:r>
      <w:r w:rsidR="00BE0DCA">
        <w:rPr>
          <w:b/>
          <w:i/>
          <w:lang w:val="en-GB"/>
        </w:rPr>
        <w:t>down selected</w:t>
      </w:r>
      <w:r w:rsidR="00F27FBF">
        <w:rPr>
          <w:b/>
          <w:i/>
          <w:lang w:val="en-GB"/>
        </w:rPr>
        <w:t xml:space="preserve"> because it allows each PUSCH transmission (</w:t>
      </w:r>
      <w:r w:rsidR="00BE0DCA">
        <w:rPr>
          <w:b/>
          <w:i/>
          <w:lang w:val="en-GB"/>
        </w:rPr>
        <w:t>or one slot</w:t>
      </w:r>
      <w:r w:rsidR="00F27FBF">
        <w:rPr>
          <w:b/>
          <w:i/>
          <w:lang w:val="en-GB"/>
        </w:rPr>
        <w:t>) to be independent with different RV.</w:t>
      </w:r>
      <w:r w:rsidR="00F27FBF" w:rsidRPr="00FE1033">
        <w:rPr>
          <w:b/>
          <w:i/>
          <w:lang w:val="en-GB"/>
        </w:rPr>
        <w:t xml:space="preserve"> </w:t>
      </w:r>
    </w:p>
    <w:p w14:paraId="05E2B4E9" w14:textId="665EC3F3" w:rsidR="00BE0DCA" w:rsidRDefault="00741BC4" w:rsidP="00F27FBF">
      <w:pPr>
        <w:jc w:val="both"/>
        <w:rPr>
          <w:b/>
          <w:i/>
          <w:lang w:val="en-GB"/>
        </w:rPr>
      </w:pPr>
      <w:r>
        <w:rPr>
          <w:b/>
          <w:i/>
          <w:lang w:val="en-GB"/>
        </w:rPr>
        <w:t>Proposal 2</w:t>
      </w:r>
      <w:r w:rsidR="00BE0DCA">
        <w:rPr>
          <w:b/>
          <w:i/>
          <w:lang w:val="en-GB"/>
        </w:rPr>
        <w:t>: Rate-matching has to be done for every PUSCH transmission (i.e per slot approach).</w:t>
      </w:r>
      <w:r>
        <w:rPr>
          <w:b/>
          <w:i/>
          <w:lang w:val="en-GB"/>
        </w:rPr>
        <w:t xml:space="preserve"> Option-a is preferred as it allows UE to transmit each PUSCH as a fresh transmission.</w:t>
      </w:r>
    </w:p>
    <w:p w14:paraId="237CCD75" w14:textId="77777777" w:rsidR="00BE0DCA" w:rsidRPr="00F27FBF" w:rsidRDefault="00BE0DCA" w:rsidP="00F27FBF">
      <w:pPr>
        <w:jc w:val="both"/>
        <w:rPr>
          <w:b/>
          <w:i/>
          <w:lang w:val="en-GB"/>
        </w:rPr>
      </w:pPr>
    </w:p>
    <w:p w14:paraId="0AE227EF" w14:textId="77777777" w:rsidR="00C859E0" w:rsidRPr="00014179" w:rsidRDefault="00C859E0" w:rsidP="00C859E0">
      <w:pPr>
        <w:pStyle w:val="Heading1"/>
        <w:numPr>
          <w:ilvl w:val="0"/>
          <w:numId w:val="0"/>
        </w:numPr>
        <w:ind w:left="432" w:hanging="432"/>
        <w:rPr>
          <w:rFonts w:ascii="Times New Roman" w:hAnsi="Times New Roman"/>
        </w:rPr>
      </w:pPr>
      <w:r w:rsidRPr="00014179">
        <w:rPr>
          <w:rFonts w:ascii="Times New Roman" w:hAnsi="Times New Roman"/>
        </w:rPr>
        <w:t>3. Conclusions</w:t>
      </w:r>
    </w:p>
    <w:p w14:paraId="2122A3EA" w14:textId="77777777" w:rsidR="00C859E0" w:rsidRDefault="00C859E0" w:rsidP="00C859E0">
      <w:pPr>
        <w:spacing w:before="240" w:line="276" w:lineRule="auto"/>
        <w:rPr>
          <w:rFonts w:eastAsia="等线"/>
          <w:szCs w:val="22"/>
          <w:lang w:eastAsia="zh-CN" w:bidi="ar"/>
        </w:rPr>
      </w:pPr>
      <w:r>
        <w:rPr>
          <w:rFonts w:eastAsia="等线"/>
          <w:szCs w:val="22"/>
          <w:lang w:eastAsia="zh-CN" w:bidi="ar"/>
        </w:rPr>
        <w:t>In this report, we discuss the mechanism of the operation for TB over multi-slot. The following proposals are made:</w:t>
      </w:r>
    </w:p>
    <w:p w14:paraId="4BC33D63" w14:textId="77777777" w:rsidR="00741BC4" w:rsidRDefault="00741BC4" w:rsidP="00741BC4">
      <w:pPr>
        <w:jc w:val="both"/>
        <w:rPr>
          <w:b/>
          <w:i/>
          <w:lang w:val="en-GB"/>
        </w:rPr>
      </w:pPr>
      <w:r>
        <w:rPr>
          <w:b/>
          <w:i/>
          <w:lang w:val="en-GB"/>
        </w:rPr>
        <w:t>Proposal 1</w:t>
      </w:r>
      <w:r w:rsidRPr="00FE1033">
        <w:rPr>
          <w:b/>
          <w:i/>
          <w:lang w:val="en-GB"/>
        </w:rPr>
        <w:t xml:space="preserve">: </w:t>
      </w:r>
      <w:r>
        <w:rPr>
          <w:b/>
          <w:i/>
          <w:lang w:val="en-GB"/>
        </w:rPr>
        <w:t>Option-4 to be down selected because it allows each PUSCH transmission (or one slot) to be independent with different RV.</w:t>
      </w:r>
      <w:r w:rsidRPr="00FE1033">
        <w:rPr>
          <w:b/>
          <w:i/>
          <w:lang w:val="en-GB"/>
        </w:rPr>
        <w:t xml:space="preserve"> </w:t>
      </w:r>
    </w:p>
    <w:p w14:paraId="1C16E4A5" w14:textId="77777777" w:rsidR="00741BC4" w:rsidRDefault="00741BC4" w:rsidP="00741BC4">
      <w:pPr>
        <w:jc w:val="both"/>
        <w:rPr>
          <w:b/>
          <w:i/>
          <w:lang w:val="en-GB"/>
        </w:rPr>
      </w:pPr>
      <w:r>
        <w:rPr>
          <w:b/>
          <w:i/>
          <w:lang w:val="en-GB"/>
        </w:rPr>
        <w:t>Proposal 2: Rate-matching has to be done for every PUSCH transmission (i.e per slot approach). Option-a is preferred as it allows UE to transmit each PUSCH as a fresh transmission.</w:t>
      </w:r>
    </w:p>
    <w:p w14:paraId="51CB7740" w14:textId="77777777" w:rsidR="00BB794D" w:rsidRPr="00741BC4" w:rsidRDefault="00BB794D" w:rsidP="00C859E0">
      <w:pPr>
        <w:spacing w:before="240" w:line="276" w:lineRule="auto"/>
        <w:rPr>
          <w:rFonts w:eastAsia="等线"/>
          <w:szCs w:val="22"/>
          <w:lang w:val="en-GB" w:eastAsia="zh-CN" w:bidi="ar"/>
        </w:rPr>
      </w:pPr>
    </w:p>
    <w:p w14:paraId="71539F6F" w14:textId="77777777" w:rsidR="00C859E0" w:rsidRPr="00830423" w:rsidRDefault="00C859E0" w:rsidP="00C859E0">
      <w:pPr>
        <w:pStyle w:val="Heading1"/>
        <w:numPr>
          <w:ilvl w:val="0"/>
          <w:numId w:val="0"/>
        </w:numPr>
        <w:rPr>
          <w:rFonts w:ascii="Times New Roman" w:hAnsi="Times New Roman"/>
          <w:lang w:val="en-US"/>
        </w:rPr>
      </w:pPr>
      <w:r w:rsidRPr="00830423">
        <w:rPr>
          <w:rFonts w:ascii="Times New Roman" w:hAnsi="Times New Roman"/>
          <w:lang w:val="en-US"/>
        </w:rPr>
        <w:t>References</w:t>
      </w:r>
    </w:p>
    <w:p w14:paraId="4FE514DB" w14:textId="34A1C740" w:rsidR="00AF3291" w:rsidRDefault="008642DF" w:rsidP="00F27FBF">
      <w:pPr>
        <w:widowControl w:val="0"/>
        <w:numPr>
          <w:ilvl w:val="0"/>
          <w:numId w:val="25"/>
        </w:numPr>
        <w:overflowPunct/>
        <w:autoSpaceDE/>
        <w:adjustRightInd/>
        <w:spacing w:after="120"/>
        <w:jc w:val="both"/>
        <w:textAlignment w:val="auto"/>
        <w:rPr>
          <w:lang w:val="en-GB"/>
        </w:rPr>
      </w:pPr>
      <w:bookmarkStart w:id="3" w:name="_Ref64378117"/>
      <w:bookmarkStart w:id="4" w:name="_Ref47206669"/>
      <w:bookmarkStart w:id="5" w:name="_Ref30840956"/>
      <w:r>
        <w:rPr>
          <w:lang w:eastAsia="zh-CN"/>
        </w:rPr>
        <w:t>Chairman’s notes, RAN1 #105-</w:t>
      </w:r>
      <w:r w:rsidR="00C859E0" w:rsidRPr="00CF5EE3">
        <w:rPr>
          <w:lang w:eastAsia="zh-CN"/>
        </w:rPr>
        <w:t xml:space="preserve">e-Meeting, </w:t>
      </w:r>
      <w:r>
        <w:rPr>
          <w:lang w:eastAsia="zh-CN"/>
        </w:rPr>
        <w:t>May</w:t>
      </w:r>
      <w:r w:rsidR="00C859E0">
        <w:rPr>
          <w:lang w:eastAsia="zh-CN"/>
        </w:rPr>
        <w:t>,</w:t>
      </w:r>
      <w:r w:rsidR="00C859E0" w:rsidRPr="00CF5EE3">
        <w:rPr>
          <w:lang w:eastAsia="zh-CN"/>
        </w:rPr>
        <w:t xml:space="preserve"> 2021</w:t>
      </w:r>
      <w:bookmarkEnd w:id="3"/>
      <w:bookmarkEnd w:id="4"/>
      <w:bookmarkEnd w:id="5"/>
      <w:r w:rsidR="009F044A">
        <w:rPr>
          <w:lang w:val="en-GB"/>
        </w:rPr>
        <w:t>.</w:t>
      </w:r>
    </w:p>
    <w:p w14:paraId="59B3D139" w14:textId="4F9DE5DC" w:rsidR="008642DF" w:rsidRPr="009F044A" w:rsidRDefault="008642DF" w:rsidP="00F27FBF">
      <w:pPr>
        <w:widowControl w:val="0"/>
        <w:numPr>
          <w:ilvl w:val="0"/>
          <w:numId w:val="25"/>
        </w:numPr>
        <w:overflowPunct/>
        <w:autoSpaceDE/>
        <w:adjustRightInd/>
        <w:spacing w:after="120"/>
        <w:jc w:val="both"/>
        <w:textAlignment w:val="auto"/>
        <w:rPr>
          <w:lang w:val="en-GB"/>
        </w:rPr>
      </w:pPr>
      <w:r>
        <w:rPr>
          <w:lang w:val="en-GB"/>
        </w:rPr>
        <w:t>R1-2105384 “Discussion on TB processing over multi-slot PUSCH”, MediaTek.</w:t>
      </w:r>
    </w:p>
    <w:sectPr w:rsidR="008642DF" w:rsidRPr="009F044A"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D40375" w14:textId="77777777" w:rsidR="00672F49" w:rsidRDefault="00672F49" w:rsidP="00746535">
      <w:pPr>
        <w:spacing w:after="0"/>
      </w:pPr>
      <w:r>
        <w:separator/>
      </w:r>
    </w:p>
  </w:endnote>
  <w:endnote w:type="continuationSeparator" w:id="0">
    <w:p w14:paraId="7A90DFD2" w14:textId="77777777" w:rsidR="00672F49" w:rsidRDefault="00672F49" w:rsidP="00746535">
      <w:pPr>
        <w:spacing w:after="0"/>
      </w:pPr>
      <w:r>
        <w:continuationSeparator/>
      </w:r>
    </w:p>
  </w:endnote>
  <w:endnote w:type="continuationNotice" w:id="1">
    <w:p w14:paraId="23431C13" w14:textId="77777777" w:rsidR="00672F49" w:rsidRDefault="00672F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Microsoft JhengHei"/>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C581E1" w14:textId="77777777" w:rsidR="00672F49" w:rsidRDefault="00672F49" w:rsidP="00746535">
      <w:pPr>
        <w:spacing w:after="0"/>
      </w:pPr>
      <w:r>
        <w:separator/>
      </w:r>
    </w:p>
  </w:footnote>
  <w:footnote w:type="continuationSeparator" w:id="0">
    <w:p w14:paraId="75CED657" w14:textId="77777777" w:rsidR="00672F49" w:rsidRDefault="00672F49" w:rsidP="00746535">
      <w:pPr>
        <w:spacing w:after="0"/>
      </w:pPr>
      <w:r>
        <w:continuationSeparator/>
      </w:r>
    </w:p>
  </w:footnote>
  <w:footnote w:type="continuationNotice" w:id="1">
    <w:p w14:paraId="2CDCD339" w14:textId="77777777" w:rsidR="00672F49" w:rsidRDefault="00672F4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1DA81B7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imes New Roman" w:hAnsi="Times New Roman" w:cs="Times New Roman" w:hint="default"/>
        <w:b w:val="0"/>
        <w:bCs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1834DDD"/>
    <w:multiLevelType w:val="multilevel"/>
    <w:tmpl w:val="21834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7B6E73"/>
    <w:multiLevelType w:val="multilevel"/>
    <w:tmpl w:val="237B6E73"/>
    <w:lvl w:ilvl="0">
      <w:start w:val="1"/>
      <w:numFmt w:val="bullet"/>
      <w:lvlText w:val=""/>
      <w:lvlJc w:val="left"/>
      <w:pPr>
        <w:tabs>
          <w:tab w:val="left" w:pos="360"/>
        </w:tabs>
        <w:ind w:left="36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63F605E"/>
    <w:multiLevelType w:val="multilevel"/>
    <w:tmpl w:val="363F605E"/>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5DC4034"/>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69F7433"/>
    <w:multiLevelType w:val="hybridMultilevel"/>
    <w:tmpl w:val="1DAA6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F9572E"/>
    <w:multiLevelType w:val="hybridMultilevel"/>
    <w:tmpl w:val="ADCC1D56"/>
    <w:lvl w:ilvl="0" w:tplc="040C0001">
      <w:start w:val="1"/>
      <w:numFmt w:val="bullet"/>
      <w:lvlText w:val=""/>
      <w:lvlJc w:val="left"/>
      <w:pPr>
        <w:ind w:left="780" w:hanging="360"/>
      </w:pPr>
      <w:rPr>
        <w:rFonts w:ascii="Symbol" w:hAnsi="Symbol" w:hint="default"/>
      </w:rPr>
    </w:lvl>
    <w:lvl w:ilvl="1" w:tplc="040C0003">
      <w:start w:val="1"/>
      <w:numFmt w:val="bullet"/>
      <w:lvlText w:val="o"/>
      <w:lvlJc w:val="left"/>
      <w:pPr>
        <w:ind w:left="1500" w:hanging="360"/>
      </w:pPr>
      <w:rPr>
        <w:rFonts w:ascii="Courier New" w:hAnsi="Courier New" w:cs="Courier New" w:hint="default"/>
      </w:rPr>
    </w:lvl>
    <w:lvl w:ilvl="2" w:tplc="040C0005">
      <w:start w:val="1"/>
      <w:numFmt w:val="bullet"/>
      <w:lvlText w:val=""/>
      <w:lvlJc w:val="left"/>
      <w:pPr>
        <w:ind w:left="2220" w:hanging="360"/>
      </w:pPr>
      <w:rPr>
        <w:rFonts w:ascii="Wingdings" w:hAnsi="Wingdings" w:hint="default"/>
      </w:rPr>
    </w:lvl>
    <w:lvl w:ilvl="3" w:tplc="040C0001">
      <w:start w:val="1"/>
      <w:numFmt w:val="bullet"/>
      <w:lvlText w:val=""/>
      <w:lvlJc w:val="left"/>
      <w:pPr>
        <w:ind w:left="2940" w:hanging="360"/>
      </w:pPr>
      <w:rPr>
        <w:rFonts w:ascii="Symbol" w:hAnsi="Symbol" w:hint="default"/>
      </w:rPr>
    </w:lvl>
    <w:lvl w:ilvl="4" w:tplc="040C0003">
      <w:start w:val="1"/>
      <w:numFmt w:val="bullet"/>
      <w:lvlText w:val="o"/>
      <w:lvlJc w:val="left"/>
      <w:pPr>
        <w:ind w:left="3660" w:hanging="360"/>
      </w:pPr>
      <w:rPr>
        <w:rFonts w:ascii="Courier New" w:hAnsi="Courier New" w:cs="Courier New" w:hint="default"/>
      </w:rPr>
    </w:lvl>
    <w:lvl w:ilvl="5" w:tplc="040C0005">
      <w:start w:val="1"/>
      <w:numFmt w:val="bullet"/>
      <w:lvlText w:val=""/>
      <w:lvlJc w:val="left"/>
      <w:pPr>
        <w:ind w:left="4380" w:hanging="360"/>
      </w:pPr>
      <w:rPr>
        <w:rFonts w:ascii="Wingdings" w:hAnsi="Wingdings" w:hint="default"/>
      </w:rPr>
    </w:lvl>
    <w:lvl w:ilvl="6" w:tplc="040C0001">
      <w:start w:val="1"/>
      <w:numFmt w:val="bullet"/>
      <w:lvlText w:val=""/>
      <w:lvlJc w:val="left"/>
      <w:pPr>
        <w:ind w:left="5100" w:hanging="360"/>
      </w:pPr>
      <w:rPr>
        <w:rFonts w:ascii="Symbol" w:hAnsi="Symbol" w:hint="default"/>
      </w:rPr>
    </w:lvl>
    <w:lvl w:ilvl="7" w:tplc="040C0003">
      <w:start w:val="1"/>
      <w:numFmt w:val="bullet"/>
      <w:lvlText w:val="o"/>
      <w:lvlJc w:val="left"/>
      <w:pPr>
        <w:ind w:left="5820" w:hanging="360"/>
      </w:pPr>
      <w:rPr>
        <w:rFonts w:ascii="Courier New" w:hAnsi="Courier New" w:cs="Courier New" w:hint="default"/>
      </w:rPr>
    </w:lvl>
    <w:lvl w:ilvl="8" w:tplc="040C0005">
      <w:start w:val="1"/>
      <w:numFmt w:val="bullet"/>
      <w:lvlText w:val=""/>
      <w:lvlJc w:val="left"/>
      <w:pPr>
        <w:ind w:left="6540" w:hanging="360"/>
      </w:pPr>
      <w:rPr>
        <w:rFonts w:ascii="Wingdings" w:hAnsi="Wingdings" w:hint="default"/>
      </w:rPr>
    </w:lvl>
  </w:abstractNum>
  <w:abstractNum w:abstractNumId="28" w15:restartNumberingAfterBreak="0">
    <w:nsid w:val="697E5AE7"/>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9F7758E"/>
    <w:multiLevelType w:val="multilevel"/>
    <w:tmpl w:val="69F775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55212D3"/>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22"/>
  </w:num>
  <w:num w:numId="3">
    <w:abstractNumId w:val="34"/>
  </w:num>
  <w:num w:numId="4">
    <w:abstractNumId w:val="23"/>
  </w:num>
  <w:num w:numId="5">
    <w:abstractNumId w:val="19"/>
  </w:num>
  <w:num w:numId="6">
    <w:abstractNumId w:val="5"/>
  </w:num>
  <w:num w:numId="7">
    <w:abstractNumId w:val="32"/>
  </w:num>
  <w:num w:numId="8">
    <w:abstractNumId w:val="16"/>
  </w:num>
  <w:num w:numId="9">
    <w:abstractNumId w:val="26"/>
  </w:num>
  <w:num w:numId="10">
    <w:abstractNumId w:val="21"/>
  </w:num>
  <w:num w:numId="11">
    <w:abstractNumId w:val="11"/>
  </w:num>
  <w:num w:numId="12">
    <w:abstractNumId w:val="2"/>
  </w:num>
  <w:num w:numId="13">
    <w:abstractNumId w:val="3"/>
  </w:num>
  <w:num w:numId="14">
    <w:abstractNumId w:val="31"/>
  </w:num>
  <w:num w:numId="15">
    <w:abstractNumId w:val="0"/>
  </w:num>
  <w:num w:numId="16">
    <w:abstractNumId w:val="24"/>
  </w:num>
  <w:num w:numId="17">
    <w:abstractNumId w:val="25"/>
  </w:num>
  <w:num w:numId="18">
    <w:abstractNumId w:val="33"/>
  </w:num>
  <w:num w:numId="19">
    <w:abstractNumId w:val="12"/>
  </w:num>
  <w:num w:numId="20">
    <w:abstractNumId w:val="18"/>
  </w:num>
  <w:num w:numId="21">
    <w:abstractNumId w:val="15"/>
  </w:num>
  <w:num w:numId="22">
    <w:abstractNumId w:val="13"/>
  </w:num>
  <w:num w:numId="23">
    <w:abstractNumId w:val="10"/>
  </w:num>
  <w:num w:numId="24">
    <w:abstractNumId w:val="6"/>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30"/>
  </w:num>
  <w:num w:numId="28">
    <w:abstractNumId w:val="8"/>
  </w:num>
  <w:num w:numId="29">
    <w:abstractNumId w:val="29"/>
  </w:num>
  <w:num w:numId="30">
    <w:abstractNumId w:val="17"/>
  </w:num>
  <w:num w:numId="31">
    <w:abstractNumId w:val="28"/>
  </w:num>
  <w:num w:numId="32">
    <w:abstractNumId w:val="14"/>
  </w:num>
  <w:num w:numId="33">
    <w:abstractNumId w:val="9"/>
  </w:num>
  <w:num w:numId="34">
    <w:abstractNumId w:val="2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6535"/>
    <w:rsid w:val="000005B9"/>
    <w:rsid w:val="00002086"/>
    <w:rsid w:val="000044F9"/>
    <w:rsid w:val="00013DF7"/>
    <w:rsid w:val="00014179"/>
    <w:rsid w:val="00016124"/>
    <w:rsid w:val="00017485"/>
    <w:rsid w:val="000228CC"/>
    <w:rsid w:val="000231C0"/>
    <w:rsid w:val="00027BAE"/>
    <w:rsid w:val="00033B0B"/>
    <w:rsid w:val="0003430D"/>
    <w:rsid w:val="00034A70"/>
    <w:rsid w:val="00035010"/>
    <w:rsid w:val="0003720A"/>
    <w:rsid w:val="00037B94"/>
    <w:rsid w:val="000410E7"/>
    <w:rsid w:val="00045501"/>
    <w:rsid w:val="00054543"/>
    <w:rsid w:val="00054AE5"/>
    <w:rsid w:val="00054D75"/>
    <w:rsid w:val="00055E7D"/>
    <w:rsid w:val="00062012"/>
    <w:rsid w:val="00062718"/>
    <w:rsid w:val="00064E97"/>
    <w:rsid w:val="00066252"/>
    <w:rsid w:val="000666F8"/>
    <w:rsid w:val="000701DC"/>
    <w:rsid w:val="000701EE"/>
    <w:rsid w:val="00073E2D"/>
    <w:rsid w:val="00076018"/>
    <w:rsid w:val="00077694"/>
    <w:rsid w:val="00083372"/>
    <w:rsid w:val="0008376C"/>
    <w:rsid w:val="0008400B"/>
    <w:rsid w:val="00090F2F"/>
    <w:rsid w:val="000937F9"/>
    <w:rsid w:val="000940B2"/>
    <w:rsid w:val="000A7317"/>
    <w:rsid w:val="000A75B0"/>
    <w:rsid w:val="000B1540"/>
    <w:rsid w:val="000B3C26"/>
    <w:rsid w:val="000C21E8"/>
    <w:rsid w:val="000C2908"/>
    <w:rsid w:val="000D3E4E"/>
    <w:rsid w:val="000D4892"/>
    <w:rsid w:val="000D6FF4"/>
    <w:rsid w:val="000D7297"/>
    <w:rsid w:val="000E36EC"/>
    <w:rsid w:val="000E48F2"/>
    <w:rsid w:val="000E5607"/>
    <w:rsid w:val="000E6249"/>
    <w:rsid w:val="000F195F"/>
    <w:rsid w:val="000F5F22"/>
    <w:rsid w:val="000F7B85"/>
    <w:rsid w:val="00100C0C"/>
    <w:rsid w:val="001060F4"/>
    <w:rsid w:val="001079CA"/>
    <w:rsid w:val="00112643"/>
    <w:rsid w:val="00112891"/>
    <w:rsid w:val="00113975"/>
    <w:rsid w:val="001149A0"/>
    <w:rsid w:val="001216BD"/>
    <w:rsid w:val="001223F3"/>
    <w:rsid w:val="0012415D"/>
    <w:rsid w:val="00124F48"/>
    <w:rsid w:val="00127558"/>
    <w:rsid w:val="0013001B"/>
    <w:rsid w:val="001354AD"/>
    <w:rsid w:val="00137270"/>
    <w:rsid w:val="001378EC"/>
    <w:rsid w:val="00137F94"/>
    <w:rsid w:val="001450AD"/>
    <w:rsid w:val="00147337"/>
    <w:rsid w:val="00153674"/>
    <w:rsid w:val="00154732"/>
    <w:rsid w:val="0015502A"/>
    <w:rsid w:val="0016285A"/>
    <w:rsid w:val="0016496A"/>
    <w:rsid w:val="00167A2A"/>
    <w:rsid w:val="001737E1"/>
    <w:rsid w:val="00175632"/>
    <w:rsid w:val="00180764"/>
    <w:rsid w:val="00180EBA"/>
    <w:rsid w:val="00182A76"/>
    <w:rsid w:val="001930DD"/>
    <w:rsid w:val="00196851"/>
    <w:rsid w:val="001A110A"/>
    <w:rsid w:val="001A39C8"/>
    <w:rsid w:val="001A53F8"/>
    <w:rsid w:val="001A763F"/>
    <w:rsid w:val="001B1669"/>
    <w:rsid w:val="001B21F9"/>
    <w:rsid w:val="001B2355"/>
    <w:rsid w:val="001B37A4"/>
    <w:rsid w:val="001B50B9"/>
    <w:rsid w:val="001C2832"/>
    <w:rsid w:val="001D5D44"/>
    <w:rsid w:val="001F7D26"/>
    <w:rsid w:val="00200759"/>
    <w:rsid w:val="002053BB"/>
    <w:rsid w:val="00205606"/>
    <w:rsid w:val="00205ACB"/>
    <w:rsid w:val="00207EBC"/>
    <w:rsid w:val="00213D5D"/>
    <w:rsid w:val="002147D1"/>
    <w:rsid w:val="00215B80"/>
    <w:rsid w:val="00216A8D"/>
    <w:rsid w:val="0022093A"/>
    <w:rsid w:val="00224BA3"/>
    <w:rsid w:val="0023339C"/>
    <w:rsid w:val="0023415E"/>
    <w:rsid w:val="00235FDF"/>
    <w:rsid w:val="0024332F"/>
    <w:rsid w:val="002433A0"/>
    <w:rsid w:val="0024472E"/>
    <w:rsid w:val="00247523"/>
    <w:rsid w:val="00260FB9"/>
    <w:rsid w:val="00261B06"/>
    <w:rsid w:val="002677CF"/>
    <w:rsid w:val="00267F25"/>
    <w:rsid w:val="00271666"/>
    <w:rsid w:val="002724B7"/>
    <w:rsid w:val="00273C47"/>
    <w:rsid w:val="002764DD"/>
    <w:rsid w:val="00285D76"/>
    <w:rsid w:val="00292883"/>
    <w:rsid w:val="00296B3D"/>
    <w:rsid w:val="002A1728"/>
    <w:rsid w:val="002A3466"/>
    <w:rsid w:val="002A4E64"/>
    <w:rsid w:val="002A709C"/>
    <w:rsid w:val="002A7B15"/>
    <w:rsid w:val="002B1AE2"/>
    <w:rsid w:val="002B386D"/>
    <w:rsid w:val="002B4CDB"/>
    <w:rsid w:val="002B53C5"/>
    <w:rsid w:val="002C136E"/>
    <w:rsid w:val="002C225D"/>
    <w:rsid w:val="002C74D4"/>
    <w:rsid w:val="002C7E73"/>
    <w:rsid w:val="002D1318"/>
    <w:rsid w:val="002D33DC"/>
    <w:rsid w:val="002E1B20"/>
    <w:rsid w:val="002E2613"/>
    <w:rsid w:val="002F4383"/>
    <w:rsid w:val="002F5C0B"/>
    <w:rsid w:val="00301906"/>
    <w:rsid w:val="00304979"/>
    <w:rsid w:val="00305DB3"/>
    <w:rsid w:val="0030770B"/>
    <w:rsid w:val="0031110E"/>
    <w:rsid w:val="003137D2"/>
    <w:rsid w:val="0031510A"/>
    <w:rsid w:val="00322F63"/>
    <w:rsid w:val="00333E72"/>
    <w:rsid w:val="003346F0"/>
    <w:rsid w:val="00342965"/>
    <w:rsid w:val="00343453"/>
    <w:rsid w:val="0034384E"/>
    <w:rsid w:val="0035056C"/>
    <w:rsid w:val="00363585"/>
    <w:rsid w:val="0036381D"/>
    <w:rsid w:val="00363B9A"/>
    <w:rsid w:val="00366981"/>
    <w:rsid w:val="00366B99"/>
    <w:rsid w:val="00366C1C"/>
    <w:rsid w:val="00367345"/>
    <w:rsid w:val="00371B3A"/>
    <w:rsid w:val="0037643F"/>
    <w:rsid w:val="00376CB1"/>
    <w:rsid w:val="00377345"/>
    <w:rsid w:val="003829FD"/>
    <w:rsid w:val="00390DD4"/>
    <w:rsid w:val="00392475"/>
    <w:rsid w:val="00397668"/>
    <w:rsid w:val="003A1C46"/>
    <w:rsid w:val="003A2A5F"/>
    <w:rsid w:val="003A57A0"/>
    <w:rsid w:val="003B2E70"/>
    <w:rsid w:val="003B5254"/>
    <w:rsid w:val="003B6750"/>
    <w:rsid w:val="003B7686"/>
    <w:rsid w:val="003C1597"/>
    <w:rsid w:val="003C1E22"/>
    <w:rsid w:val="003C2F38"/>
    <w:rsid w:val="003C34CC"/>
    <w:rsid w:val="003C3641"/>
    <w:rsid w:val="003C4F56"/>
    <w:rsid w:val="003C5A6A"/>
    <w:rsid w:val="003C7FA2"/>
    <w:rsid w:val="003D047C"/>
    <w:rsid w:val="003E0D33"/>
    <w:rsid w:val="003E3C56"/>
    <w:rsid w:val="003E5117"/>
    <w:rsid w:val="003F1425"/>
    <w:rsid w:val="003F214A"/>
    <w:rsid w:val="003F6B18"/>
    <w:rsid w:val="0040345F"/>
    <w:rsid w:val="00405299"/>
    <w:rsid w:val="00410BAC"/>
    <w:rsid w:val="00410CCF"/>
    <w:rsid w:val="00421CD2"/>
    <w:rsid w:val="004230B8"/>
    <w:rsid w:val="0042480E"/>
    <w:rsid w:val="004274C0"/>
    <w:rsid w:val="004278C1"/>
    <w:rsid w:val="00431990"/>
    <w:rsid w:val="0043538A"/>
    <w:rsid w:val="0043698B"/>
    <w:rsid w:val="00437EB9"/>
    <w:rsid w:val="00441F88"/>
    <w:rsid w:val="004440D6"/>
    <w:rsid w:val="00450D19"/>
    <w:rsid w:val="0045185F"/>
    <w:rsid w:val="004526F4"/>
    <w:rsid w:val="00462EDF"/>
    <w:rsid w:val="00462F56"/>
    <w:rsid w:val="00473420"/>
    <w:rsid w:val="004772A1"/>
    <w:rsid w:val="004803B7"/>
    <w:rsid w:val="004914D1"/>
    <w:rsid w:val="0049677E"/>
    <w:rsid w:val="00496C2E"/>
    <w:rsid w:val="0049752F"/>
    <w:rsid w:val="004A2C9B"/>
    <w:rsid w:val="004A4A1E"/>
    <w:rsid w:val="004B2F38"/>
    <w:rsid w:val="004B54D6"/>
    <w:rsid w:val="004B55DF"/>
    <w:rsid w:val="004B56F0"/>
    <w:rsid w:val="004B6301"/>
    <w:rsid w:val="004C716B"/>
    <w:rsid w:val="004D10C9"/>
    <w:rsid w:val="004D1327"/>
    <w:rsid w:val="004D3CCB"/>
    <w:rsid w:val="004D4F48"/>
    <w:rsid w:val="004E48B0"/>
    <w:rsid w:val="004E67B2"/>
    <w:rsid w:val="004F295D"/>
    <w:rsid w:val="004F4610"/>
    <w:rsid w:val="004F6AFC"/>
    <w:rsid w:val="0050049D"/>
    <w:rsid w:val="00501F15"/>
    <w:rsid w:val="0050529E"/>
    <w:rsid w:val="00507411"/>
    <w:rsid w:val="00513254"/>
    <w:rsid w:val="005152A8"/>
    <w:rsid w:val="005163CE"/>
    <w:rsid w:val="00521AA5"/>
    <w:rsid w:val="0052380E"/>
    <w:rsid w:val="00540AE7"/>
    <w:rsid w:val="005415E2"/>
    <w:rsid w:val="00554794"/>
    <w:rsid w:val="005551B3"/>
    <w:rsid w:val="00555F24"/>
    <w:rsid w:val="00556BB3"/>
    <w:rsid w:val="00557216"/>
    <w:rsid w:val="0056156F"/>
    <w:rsid w:val="00561B6B"/>
    <w:rsid w:val="00563562"/>
    <w:rsid w:val="00563E7A"/>
    <w:rsid w:val="005728B1"/>
    <w:rsid w:val="00574132"/>
    <w:rsid w:val="00576517"/>
    <w:rsid w:val="00582F42"/>
    <w:rsid w:val="005933BD"/>
    <w:rsid w:val="0059468C"/>
    <w:rsid w:val="00594CE1"/>
    <w:rsid w:val="005A28AF"/>
    <w:rsid w:val="005A33DD"/>
    <w:rsid w:val="005A34A5"/>
    <w:rsid w:val="005A5FF0"/>
    <w:rsid w:val="005A74CC"/>
    <w:rsid w:val="005B0C9C"/>
    <w:rsid w:val="005B3A24"/>
    <w:rsid w:val="005C0886"/>
    <w:rsid w:val="005C0B6B"/>
    <w:rsid w:val="005C769E"/>
    <w:rsid w:val="005E0961"/>
    <w:rsid w:val="005E1032"/>
    <w:rsid w:val="005E4C14"/>
    <w:rsid w:val="005E5BE5"/>
    <w:rsid w:val="005F2123"/>
    <w:rsid w:val="005F28D0"/>
    <w:rsid w:val="005F43FC"/>
    <w:rsid w:val="005F534C"/>
    <w:rsid w:val="005F6F46"/>
    <w:rsid w:val="0060309C"/>
    <w:rsid w:val="0060335A"/>
    <w:rsid w:val="006069B3"/>
    <w:rsid w:val="00611CAE"/>
    <w:rsid w:val="006131D0"/>
    <w:rsid w:val="0061387D"/>
    <w:rsid w:val="006149E8"/>
    <w:rsid w:val="006156B4"/>
    <w:rsid w:val="006252CE"/>
    <w:rsid w:val="00627D12"/>
    <w:rsid w:val="006304C7"/>
    <w:rsid w:val="006312D9"/>
    <w:rsid w:val="00633300"/>
    <w:rsid w:val="00634C39"/>
    <w:rsid w:val="00636C27"/>
    <w:rsid w:val="006410A6"/>
    <w:rsid w:val="006429A1"/>
    <w:rsid w:val="006438F0"/>
    <w:rsid w:val="00645883"/>
    <w:rsid w:val="006477DB"/>
    <w:rsid w:val="00657626"/>
    <w:rsid w:val="0066272D"/>
    <w:rsid w:val="0066276B"/>
    <w:rsid w:val="00662FEF"/>
    <w:rsid w:val="00663B30"/>
    <w:rsid w:val="0066409B"/>
    <w:rsid w:val="0066446C"/>
    <w:rsid w:val="006666C6"/>
    <w:rsid w:val="00672F49"/>
    <w:rsid w:val="00674539"/>
    <w:rsid w:val="0067530F"/>
    <w:rsid w:val="00676C61"/>
    <w:rsid w:val="00677AA3"/>
    <w:rsid w:val="00680CA2"/>
    <w:rsid w:val="00680DA8"/>
    <w:rsid w:val="0068217D"/>
    <w:rsid w:val="006B0E0C"/>
    <w:rsid w:val="006B6672"/>
    <w:rsid w:val="006C204E"/>
    <w:rsid w:val="006C3F53"/>
    <w:rsid w:val="006D1381"/>
    <w:rsid w:val="006D28C1"/>
    <w:rsid w:val="006D3CBB"/>
    <w:rsid w:val="006D495C"/>
    <w:rsid w:val="006D764E"/>
    <w:rsid w:val="006E1B48"/>
    <w:rsid w:val="006E6DD1"/>
    <w:rsid w:val="006E6EC9"/>
    <w:rsid w:val="006F38C7"/>
    <w:rsid w:val="006F40BC"/>
    <w:rsid w:val="006F4D72"/>
    <w:rsid w:val="006F6E51"/>
    <w:rsid w:val="007047A9"/>
    <w:rsid w:val="007104FB"/>
    <w:rsid w:val="00711A57"/>
    <w:rsid w:val="007124C4"/>
    <w:rsid w:val="007136CB"/>
    <w:rsid w:val="007138AF"/>
    <w:rsid w:val="00714628"/>
    <w:rsid w:val="00721FFC"/>
    <w:rsid w:val="0072519F"/>
    <w:rsid w:val="00732335"/>
    <w:rsid w:val="007359FC"/>
    <w:rsid w:val="0073778F"/>
    <w:rsid w:val="00740832"/>
    <w:rsid w:val="007410FD"/>
    <w:rsid w:val="00741749"/>
    <w:rsid w:val="00741BC4"/>
    <w:rsid w:val="007439DC"/>
    <w:rsid w:val="0074644D"/>
    <w:rsid w:val="00746535"/>
    <w:rsid w:val="007468F1"/>
    <w:rsid w:val="00746ABA"/>
    <w:rsid w:val="00747ED4"/>
    <w:rsid w:val="007515ED"/>
    <w:rsid w:val="007556E1"/>
    <w:rsid w:val="0076488F"/>
    <w:rsid w:val="00771707"/>
    <w:rsid w:val="0078086F"/>
    <w:rsid w:val="00782900"/>
    <w:rsid w:val="007833A7"/>
    <w:rsid w:val="00786AC7"/>
    <w:rsid w:val="00794097"/>
    <w:rsid w:val="007A2558"/>
    <w:rsid w:val="007A2604"/>
    <w:rsid w:val="007A701D"/>
    <w:rsid w:val="007B613E"/>
    <w:rsid w:val="007B79E2"/>
    <w:rsid w:val="007C360E"/>
    <w:rsid w:val="007D45C3"/>
    <w:rsid w:val="007D58CF"/>
    <w:rsid w:val="007D6638"/>
    <w:rsid w:val="007E6BE6"/>
    <w:rsid w:val="007F3B35"/>
    <w:rsid w:val="007F45A5"/>
    <w:rsid w:val="008007E9"/>
    <w:rsid w:val="00800CD0"/>
    <w:rsid w:val="00800FE3"/>
    <w:rsid w:val="00803B87"/>
    <w:rsid w:val="00806D7A"/>
    <w:rsid w:val="00807B78"/>
    <w:rsid w:val="00810E1F"/>
    <w:rsid w:val="008117DC"/>
    <w:rsid w:val="00813DE7"/>
    <w:rsid w:val="00815CB3"/>
    <w:rsid w:val="0081601E"/>
    <w:rsid w:val="00822AA7"/>
    <w:rsid w:val="008243A9"/>
    <w:rsid w:val="00824450"/>
    <w:rsid w:val="00830C7A"/>
    <w:rsid w:val="008410FB"/>
    <w:rsid w:val="00857E3A"/>
    <w:rsid w:val="008609B4"/>
    <w:rsid w:val="008642DF"/>
    <w:rsid w:val="00864501"/>
    <w:rsid w:val="00875B4E"/>
    <w:rsid w:val="0087613F"/>
    <w:rsid w:val="00890434"/>
    <w:rsid w:val="00890742"/>
    <w:rsid w:val="00890F63"/>
    <w:rsid w:val="00892410"/>
    <w:rsid w:val="00895EC4"/>
    <w:rsid w:val="0089760F"/>
    <w:rsid w:val="008976E1"/>
    <w:rsid w:val="008A2692"/>
    <w:rsid w:val="008A4299"/>
    <w:rsid w:val="008A4477"/>
    <w:rsid w:val="008A53A8"/>
    <w:rsid w:val="008A7D97"/>
    <w:rsid w:val="008A7FE8"/>
    <w:rsid w:val="008B006C"/>
    <w:rsid w:val="008B2264"/>
    <w:rsid w:val="008B6116"/>
    <w:rsid w:val="008C1A35"/>
    <w:rsid w:val="008C2E12"/>
    <w:rsid w:val="008D17C1"/>
    <w:rsid w:val="008D23FB"/>
    <w:rsid w:val="008D7A9D"/>
    <w:rsid w:val="008E0EAF"/>
    <w:rsid w:val="008E0EE9"/>
    <w:rsid w:val="008E1813"/>
    <w:rsid w:val="008F09BA"/>
    <w:rsid w:val="008F32F6"/>
    <w:rsid w:val="008F5BE4"/>
    <w:rsid w:val="008F77C6"/>
    <w:rsid w:val="00901695"/>
    <w:rsid w:val="00904C38"/>
    <w:rsid w:val="00906266"/>
    <w:rsid w:val="0091288C"/>
    <w:rsid w:val="009128D9"/>
    <w:rsid w:val="009238DC"/>
    <w:rsid w:val="00923BCA"/>
    <w:rsid w:val="0092763C"/>
    <w:rsid w:val="00931EA6"/>
    <w:rsid w:val="009320D5"/>
    <w:rsid w:val="00932B8E"/>
    <w:rsid w:val="00934D80"/>
    <w:rsid w:val="0093764E"/>
    <w:rsid w:val="0094127A"/>
    <w:rsid w:val="00943773"/>
    <w:rsid w:val="009447F6"/>
    <w:rsid w:val="0094699A"/>
    <w:rsid w:val="00951051"/>
    <w:rsid w:val="009522CE"/>
    <w:rsid w:val="009531D3"/>
    <w:rsid w:val="009565AF"/>
    <w:rsid w:val="00956D39"/>
    <w:rsid w:val="00957257"/>
    <w:rsid w:val="00957DC7"/>
    <w:rsid w:val="009608BE"/>
    <w:rsid w:val="00962883"/>
    <w:rsid w:val="00964AF1"/>
    <w:rsid w:val="00964BA0"/>
    <w:rsid w:val="00966C7B"/>
    <w:rsid w:val="009712B1"/>
    <w:rsid w:val="0097542D"/>
    <w:rsid w:val="00975658"/>
    <w:rsid w:val="00975E25"/>
    <w:rsid w:val="009761D3"/>
    <w:rsid w:val="009909BF"/>
    <w:rsid w:val="00994513"/>
    <w:rsid w:val="00995E87"/>
    <w:rsid w:val="009A193B"/>
    <w:rsid w:val="009A1EFD"/>
    <w:rsid w:val="009A22AE"/>
    <w:rsid w:val="009B4FA7"/>
    <w:rsid w:val="009B672E"/>
    <w:rsid w:val="009C46F8"/>
    <w:rsid w:val="009C5279"/>
    <w:rsid w:val="009C52E6"/>
    <w:rsid w:val="009C718F"/>
    <w:rsid w:val="009C7DC8"/>
    <w:rsid w:val="009D299F"/>
    <w:rsid w:val="009D2ECE"/>
    <w:rsid w:val="009D3364"/>
    <w:rsid w:val="009E09EA"/>
    <w:rsid w:val="009E2F82"/>
    <w:rsid w:val="009E6142"/>
    <w:rsid w:val="009E7305"/>
    <w:rsid w:val="009F044A"/>
    <w:rsid w:val="009F1389"/>
    <w:rsid w:val="009F4343"/>
    <w:rsid w:val="009F46E7"/>
    <w:rsid w:val="009F485D"/>
    <w:rsid w:val="009F7E80"/>
    <w:rsid w:val="00A009B2"/>
    <w:rsid w:val="00A03B93"/>
    <w:rsid w:val="00A04BF3"/>
    <w:rsid w:val="00A116F3"/>
    <w:rsid w:val="00A1257C"/>
    <w:rsid w:val="00A1296F"/>
    <w:rsid w:val="00A160DC"/>
    <w:rsid w:val="00A20F64"/>
    <w:rsid w:val="00A23FDB"/>
    <w:rsid w:val="00A245A4"/>
    <w:rsid w:val="00A30E57"/>
    <w:rsid w:val="00A30FE8"/>
    <w:rsid w:val="00A32494"/>
    <w:rsid w:val="00A4372A"/>
    <w:rsid w:val="00A44558"/>
    <w:rsid w:val="00A448CF"/>
    <w:rsid w:val="00A471DD"/>
    <w:rsid w:val="00A51892"/>
    <w:rsid w:val="00A559FB"/>
    <w:rsid w:val="00A61F99"/>
    <w:rsid w:val="00A62DC0"/>
    <w:rsid w:val="00A62F46"/>
    <w:rsid w:val="00A65FDA"/>
    <w:rsid w:val="00A87C2B"/>
    <w:rsid w:val="00A91472"/>
    <w:rsid w:val="00A92638"/>
    <w:rsid w:val="00A9321F"/>
    <w:rsid w:val="00A93F78"/>
    <w:rsid w:val="00A97F1A"/>
    <w:rsid w:val="00AA645E"/>
    <w:rsid w:val="00AB1B29"/>
    <w:rsid w:val="00AC1CBE"/>
    <w:rsid w:val="00AC6DEC"/>
    <w:rsid w:val="00AC7489"/>
    <w:rsid w:val="00AD2B31"/>
    <w:rsid w:val="00AD4509"/>
    <w:rsid w:val="00AF275E"/>
    <w:rsid w:val="00AF3291"/>
    <w:rsid w:val="00AF7891"/>
    <w:rsid w:val="00B0164C"/>
    <w:rsid w:val="00B04BAB"/>
    <w:rsid w:val="00B12284"/>
    <w:rsid w:val="00B1655A"/>
    <w:rsid w:val="00B27123"/>
    <w:rsid w:val="00B275E2"/>
    <w:rsid w:val="00B27AD3"/>
    <w:rsid w:val="00B34008"/>
    <w:rsid w:val="00B34EBA"/>
    <w:rsid w:val="00B44098"/>
    <w:rsid w:val="00B46671"/>
    <w:rsid w:val="00B517CB"/>
    <w:rsid w:val="00B5345C"/>
    <w:rsid w:val="00B57C90"/>
    <w:rsid w:val="00B62098"/>
    <w:rsid w:val="00B64E95"/>
    <w:rsid w:val="00B65198"/>
    <w:rsid w:val="00B67052"/>
    <w:rsid w:val="00B6747F"/>
    <w:rsid w:val="00B708EF"/>
    <w:rsid w:val="00B74161"/>
    <w:rsid w:val="00B743EA"/>
    <w:rsid w:val="00B76B2C"/>
    <w:rsid w:val="00B819D1"/>
    <w:rsid w:val="00B87F86"/>
    <w:rsid w:val="00B9006A"/>
    <w:rsid w:val="00B9133F"/>
    <w:rsid w:val="00B944EF"/>
    <w:rsid w:val="00B95805"/>
    <w:rsid w:val="00BA10B3"/>
    <w:rsid w:val="00BA17FB"/>
    <w:rsid w:val="00BA1AF7"/>
    <w:rsid w:val="00BA356E"/>
    <w:rsid w:val="00BB16D7"/>
    <w:rsid w:val="00BB3CF5"/>
    <w:rsid w:val="00BB62C1"/>
    <w:rsid w:val="00BB794D"/>
    <w:rsid w:val="00BC01FE"/>
    <w:rsid w:val="00BC1530"/>
    <w:rsid w:val="00BC1EAA"/>
    <w:rsid w:val="00BC4293"/>
    <w:rsid w:val="00BC4A0C"/>
    <w:rsid w:val="00BC5B1A"/>
    <w:rsid w:val="00BC5D5A"/>
    <w:rsid w:val="00BD1EF3"/>
    <w:rsid w:val="00BD27F3"/>
    <w:rsid w:val="00BD36DA"/>
    <w:rsid w:val="00BD4DF5"/>
    <w:rsid w:val="00BD5A8E"/>
    <w:rsid w:val="00BD7640"/>
    <w:rsid w:val="00BD7A22"/>
    <w:rsid w:val="00BE04D4"/>
    <w:rsid w:val="00BE0DCA"/>
    <w:rsid w:val="00BE3378"/>
    <w:rsid w:val="00BE4F87"/>
    <w:rsid w:val="00BE71B7"/>
    <w:rsid w:val="00BE7C22"/>
    <w:rsid w:val="00BF0F65"/>
    <w:rsid w:val="00BF2BC6"/>
    <w:rsid w:val="00BF3D78"/>
    <w:rsid w:val="00C00294"/>
    <w:rsid w:val="00C03B4D"/>
    <w:rsid w:val="00C04EA4"/>
    <w:rsid w:val="00C10BDE"/>
    <w:rsid w:val="00C14406"/>
    <w:rsid w:val="00C241E5"/>
    <w:rsid w:val="00C24AAA"/>
    <w:rsid w:val="00C25ECC"/>
    <w:rsid w:val="00C267FF"/>
    <w:rsid w:val="00C27DF5"/>
    <w:rsid w:val="00C30629"/>
    <w:rsid w:val="00C3353D"/>
    <w:rsid w:val="00C356F4"/>
    <w:rsid w:val="00C3625E"/>
    <w:rsid w:val="00C362AB"/>
    <w:rsid w:val="00C37C05"/>
    <w:rsid w:val="00C40DAA"/>
    <w:rsid w:val="00C4570A"/>
    <w:rsid w:val="00C463CB"/>
    <w:rsid w:val="00C477E4"/>
    <w:rsid w:val="00C50B43"/>
    <w:rsid w:val="00C54480"/>
    <w:rsid w:val="00C545E2"/>
    <w:rsid w:val="00C602D3"/>
    <w:rsid w:val="00C626E2"/>
    <w:rsid w:val="00C64487"/>
    <w:rsid w:val="00C66ADC"/>
    <w:rsid w:val="00C67790"/>
    <w:rsid w:val="00C67974"/>
    <w:rsid w:val="00C71071"/>
    <w:rsid w:val="00C71211"/>
    <w:rsid w:val="00C716AA"/>
    <w:rsid w:val="00C72AC4"/>
    <w:rsid w:val="00C74CCF"/>
    <w:rsid w:val="00C803BF"/>
    <w:rsid w:val="00C810CB"/>
    <w:rsid w:val="00C83D78"/>
    <w:rsid w:val="00C856C2"/>
    <w:rsid w:val="00C859E0"/>
    <w:rsid w:val="00C9077F"/>
    <w:rsid w:val="00C93DE0"/>
    <w:rsid w:val="00C968E8"/>
    <w:rsid w:val="00CA1D58"/>
    <w:rsid w:val="00CA4E54"/>
    <w:rsid w:val="00CA6468"/>
    <w:rsid w:val="00CA785A"/>
    <w:rsid w:val="00CC0B59"/>
    <w:rsid w:val="00CC6DF7"/>
    <w:rsid w:val="00CD011F"/>
    <w:rsid w:val="00CD0C3C"/>
    <w:rsid w:val="00CD1A59"/>
    <w:rsid w:val="00CD6108"/>
    <w:rsid w:val="00CD64B3"/>
    <w:rsid w:val="00CD7305"/>
    <w:rsid w:val="00CE32C3"/>
    <w:rsid w:val="00CE36EB"/>
    <w:rsid w:val="00CE5778"/>
    <w:rsid w:val="00CF0BF1"/>
    <w:rsid w:val="00CF4A2E"/>
    <w:rsid w:val="00CF651F"/>
    <w:rsid w:val="00CF6905"/>
    <w:rsid w:val="00D0418E"/>
    <w:rsid w:val="00D05CAD"/>
    <w:rsid w:val="00D061C5"/>
    <w:rsid w:val="00D06530"/>
    <w:rsid w:val="00D07847"/>
    <w:rsid w:val="00D11F72"/>
    <w:rsid w:val="00D13B30"/>
    <w:rsid w:val="00D14F38"/>
    <w:rsid w:val="00D26BBE"/>
    <w:rsid w:val="00D27046"/>
    <w:rsid w:val="00D27C68"/>
    <w:rsid w:val="00D320A2"/>
    <w:rsid w:val="00D34DF2"/>
    <w:rsid w:val="00D416B4"/>
    <w:rsid w:val="00D4332E"/>
    <w:rsid w:val="00D437B5"/>
    <w:rsid w:val="00D442A5"/>
    <w:rsid w:val="00D4562D"/>
    <w:rsid w:val="00D50538"/>
    <w:rsid w:val="00D52C88"/>
    <w:rsid w:val="00D62411"/>
    <w:rsid w:val="00D643C0"/>
    <w:rsid w:val="00D650EB"/>
    <w:rsid w:val="00D6546F"/>
    <w:rsid w:val="00D675BC"/>
    <w:rsid w:val="00D70504"/>
    <w:rsid w:val="00D7064E"/>
    <w:rsid w:val="00D7086E"/>
    <w:rsid w:val="00D74914"/>
    <w:rsid w:val="00D764E9"/>
    <w:rsid w:val="00D80BC1"/>
    <w:rsid w:val="00D824B7"/>
    <w:rsid w:val="00D840E8"/>
    <w:rsid w:val="00D84CD2"/>
    <w:rsid w:val="00D90128"/>
    <w:rsid w:val="00D928A1"/>
    <w:rsid w:val="00D9584E"/>
    <w:rsid w:val="00D96C5B"/>
    <w:rsid w:val="00D97D65"/>
    <w:rsid w:val="00DA016E"/>
    <w:rsid w:val="00DA19D4"/>
    <w:rsid w:val="00DA39B5"/>
    <w:rsid w:val="00DA49E7"/>
    <w:rsid w:val="00DA7DD6"/>
    <w:rsid w:val="00DB1C0E"/>
    <w:rsid w:val="00DB3041"/>
    <w:rsid w:val="00DB531B"/>
    <w:rsid w:val="00DC0CD9"/>
    <w:rsid w:val="00DC510D"/>
    <w:rsid w:val="00DC5414"/>
    <w:rsid w:val="00DC5E17"/>
    <w:rsid w:val="00DC5EB9"/>
    <w:rsid w:val="00DC6EAB"/>
    <w:rsid w:val="00DC7134"/>
    <w:rsid w:val="00DD4550"/>
    <w:rsid w:val="00DD69FD"/>
    <w:rsid w:val="00DE2926"/>
    <w:rsid w:val="00DE3867"/>
    <w:rsid w:val="00DE74EA"/>
    <w:rsid w:val="00DF1D01"/>
    <w:rsid w:val="00DF33DD"/>
    <w:rsid w:val="00DF54DD"/>
    <w:rsid w:val="00DF6030"/>
    <w:rsid w:val="00DF6E70"/>
    <w:rsid w:val="00E01FF8"/>
    <w:rsid w:val="00E032B0"/>
    <w:rsid w:val="00E06688"/>
    <w:rsid w:val="00E07788"/>
    <w:rsid w:val="00E12985"/>
    <w:rsid w:val="00E1573D"/>
    <w:rsid w:val="00E1751D"/>
    <w:rsid w:val="00E22CBF"/>
    <w:rsid w:val="00E238D0"/>
    <w:rsid w:val="00E27122"/>
    <w:rsid w:val="00E3283A"/>
    <w:rsid w:val="00E32BFB"/>
    <w:rsid w:val="00E364EE"/>
    <w:rsid w:val="00E41DC6"/>
    <w:rsid w:val="00E42DF7"/>
    <w:rsid w:val="00E455AF"/>
    <w:rsid w:val="00E47282"/>
    <w:rsid w:val="00E53A2A"/>
    <w:rsid w:val="00E57572"/>
    <w:rsid w:val="00E629BB"/>
    <w:rsid w:val="00E65D8E"/>
    <w:rsid w:val="00E669B0"/>
    <w:rsid w:val="00E67437"/>
    <w:rsid w:val="00E678DE"/>
    <w:rsid w:val="00E71774"/>
    <w:rsid w:val="00E766CF"/>
    <w:rsid w:val="00E82E55"/>
    <w:rsid w:val="00E8739F"/>
    <w:rsid w:val="00E905B7"/>
    <w:rsid w:val="00E95265"/>
    <w:rsid w:val="00EA0189"/>
    <w:rsid w:val="00EA455F"/>
    <w:rsid w:val="00EA510D"/>
    <w:rsid w:val="00EB3B02"/>
    <w:rsid w:val="00EB3B21"/>
    <w:rsid w:val="00EB3FA8"/>
    <w:rsid w:val="00EC538C"/>
    <w:rsid w:val="00ED13E3"/>
    <w:rsid w:val="00ED2945"/>
    <w:rsid w:val="00ED45E2"/>
    <w:rsid w:val="00ED6662"/>
    <w:rsid w:val="00ED7FAA"/>
    <w:rsid w:val="00EE0670"/>
    <w:rsid w:val="00EF0716"/>
    <w:rsid w:val="00EF1923"/>
    <w:rsid w:val="00EF63F6"/>
    <w:rsid w:val="00EF6EBD"/>
    <w:rsid w:val="00EF74F2"/>
    <w:rsid w:val="00F007E2"/>
    <w:rsid w:val="00F04885"/>
    <w:rsid w:val="00F04F6C"/>
    <w:rsid w:val="00F07053"/>
    <w:rsid w:val="00F11D3C"/>
    <w:rsid w:val="00F12588"/>
    <w:rsid w:val="00F13199"/>
    <w:rsid w:val="00F13399"/>
    <w:rsid w:val="00F1383F"/>
    <w:rsid w:val="00F15D3A"/>
    <w:rsid w:val="00F16BBE"/>
    <w:rsid w:val="00F2026C"/>
    <w:rsid w:val="00F21DE7"/>
    <w:rsid w:val="00F22190"/>
    <w:rsid w:val="00F2284D"/>
    <w:rsid w:val="00F2381C"/>
    <w:rsid w:val="00F253D2"/>
    <w:rsid w:val="00F25BF4"/>
    <w:rsid w:val="00F2661C"/>
    <w:rsid w:val="00F27FBF"/>
    <w:rsid w:val="00F3255A"/>
    <w:rsid w:val="00F340E0"/>
    <w:rsid w:val="00F438B8"/>
    <w:rsid w:val="00F456D9"/>
    <w:rsid w:val="00F5000A"/>
    <w:rsid w:val="00F50563"/>
    <w:rsid w:val="00F50886"/>
    <w:rsid w:val="00F50A9F"/>
    <w:rsid w:val="00F521B6"/>
    <w:rsid w:val="00F52F34"/>
    <w:rsid w:val="00F53E0E"/>
    <w:rsid w:val="00F5436E"/>
    <w:rsid w:val="00F63DA3"/>
    <w:rsid w:val="00F65A25"/>
    <w:rsid w:val="00F67A42"/>
    <w:rsid w:val="00F71612"/>
    <w:rsid w:val="00F7755C"/>
    <w:rsid w:val="00F77789"/>
    <w:rsid w:val="00F803D5"/>
    <w:rsid w:val="00F834DF"/>
    <w:rsid w:val="00F83A85"/>
    <w:rsid w:val="00F85357"/>
    <w:rsid w:val="00F860DD"/>
    <w:rsid w:val="00F92D4C"/>
    <w:rsid w:val="00F9780C"/>
    <w:rsid w:val="00FA0573"/>
    <w:rsid w:val="00FA2AD6"/>
    <w:rsid w:val="00FA6806"/>
    <w:rsid w:val="00FB225B"/>
    <w:rsid w:val="00FB3BD6"/>
    <w:rsid w:val="00FC1708"/>
    <w:rsid w:val="00FC24C1"/>
    <w:rsid w:val="00FC2829"/>
    <w:rsid w:val="00FD1F97"/>
    <w:rsid w:val="00FE1033"/>
    <w:rsid w:val="00FE2282"/>
    <w:rsid w:val="00FE7249"/>
    <w:rsid w:val="00FF3385"/>
    <w:rsid w:val="00FF40D2"/>
    <w:rsid w:val="00FF4493"/>
    <w:rsid w:val="00FF57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7AFC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6535"/>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宋体"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宋体"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qFormat/>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宋体"/>
      <w:lang w:eastAsia="zh-CN"/>
    </w:rPr>
  </w:style>
  <w:style w:type="character" w:customStyle="1" w:styleId="TableCellChar">
    <w:name w:val="Table Cell Char"/>
    <w:link w:val="TableCell"/>
    <w:rsid w:val="00746535"/>
    <w:rPr>
      <w:rFonts w:ascii="Arial" w:eastAsia="宋体"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宋体"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宋体"/>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宋体" w:eastAsiaTheme="minorEastAsia" w:hAnsi="宋体" w:cs="宋体"/>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宋体"/>
      <w:kern w:val="2"/>
      <w:sz w:val="21"/>
      <w:lang w:eastAsia="zh-CN"/>
    </w:rPr>
  </w:style>
  <w:style w:type="character" w:customStyle="1" w:styleId="Char">
    <w:name w:val="样式 正文 Char"/>
    <w:basedOn w:val="DefaultParagraphFont"/>
    <w:link w:val="a1"/>
    <w:rsid w:val="00746535"/>
    <w:rPr>
      <w:rFonts w:ascii="Times New Roman" w:eastAsia="宋体" w:hAnsi="Times New Roman" w:cs="宋体"/>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宋体"/>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宋体"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宋体"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宋体"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宋体"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等线" w:eastAsia="等线" w:hAnsi="等线" w:cs="宋体"/>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宋体" w:hAnsi="宋体" w:cs="宋体"/>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customStyle="1"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90677">
      <w:bodyDiv w:val="1"/>
      <w:marLeft w:val="0"/>
      <w:marRight w:val="0"/>
      <w:marTop w:val="0"/>
      <w:marBottom w:val="0"/>
      <w:divBdr>
        <w:top w:val="none" w:sz="0" w:space="0" w:color="auto"/>
        <w:left w:val="none" w:sz="0" w:space="0" w:color="auto"/>
        <w:bottom w:val="none" w:sz="0" w:space="0" w:color="auto"/>
        <w:right w:val="none" w:sz="0" w:space="0" w:color="auto"/>
      </w:divBdr>
    </w:div>
    <w:div w:id="88694569">
      <w:bodyDiv w:val="1"/>
      <w:marLeft w:val="0"/>
      <w:marRight w:val="0"/>
      <w:marTop w:val="0"/>
      <w:marBottom w:val="0"/>
      <w:divBdr>
        <w:top w:val="none" w:sz="0" w:space="0" w:color="auto"/>
        <w:left w:val="none" w:sz="0" w:space="0" w:color="auto"/>
        <w:bottom w:val="none" w:sz="0" w:space="0" w:color="auto"/>
        <w:right w:val="none" w:sz="0" w:space="0" w:color="auto"/>
      </w:divBdr>
    </w:div>
    <w:div w:id="98525081">
      <w:bodyDiv w:val="1"/>
      <w:marLeft w:val="0"/>
      <w:marRight w:val="0"/>
      <w:marTop w:val="0"/>
      <w:marBottom w:val="0"/>
      <w:divBdr>
        <w:top w:val="none" w:sz="0" w:space="0" w:color="auto"/>
        <w:left w:val="none" w:sz="0" w:space="0" w:color="auto"/>
        <w:bottom w:val="none" w:sz="0" w:space="0" w:color="auto"/>
        <w:right w:val="none" w:sz="0" w:space="0" w:color="auto"/>
      </w:divBdr>
      <w:divsChild>
        <w:div w:id="7028881">
          <w:marLeft w:val="1440"/>
          <w:marRight w:val="0"/>
          <w:marTop w:val="0"/>
          <w:marBottom w:val="0"/>
          <w:divBdr>
            <w:top w:val="none" w:sz="0" w:space="0" w:color="auto"/>
            <w:left w:val="none" w:sz="0" w:space="0" w:color="auto"/>
            <w:bottom w:val="none" w:sz="0" w:space="0" w:color="auto"/>
            <w:right w:val="none" w:sz="0" w:space="0" w:color="auto"/>
          </w:divBdr>
        </w:div>
        <w:div w:id="211503854">
          <w:marLeft w:val="720"/>
          <w:marRight w:val="0"/>
          <w:marTop w:val="240"/>
          <w:marBottom w:val="0"/>
          <w:divBdr>
            <w:top w:val="none" w:sz="0" w:space="0" w:color="auto"/>
            <w:left w:val="none" w:sz="0" w:space="0" w:color="auto"/>
            <w:bottom w:val="none" w:sz="0" w:space="0" w:color="auto"/>
            <w:right w:val="none" w:sz="0" w:space="0" w:color="auto"/>
          </w:divBdr>
        </w:div>
        <w:div w:id="212041575">
          <w:marLeft w:val="720"/>
          <w:marRight w:val="0"/>
          <w:marTop w:val="240"/>
          <w:marBottom w:val="0"/>
          <w:divBdr>
            <w:top w:val="none" w:sz="0" w:space="0" w:color="auto"/>
            <w:left w:val="none" w:sz="0" w:space="0" w:color="auto"/>
            <w:bottom w:val="none" w:sz="0" w:space="0" w:color="auto"/>
            <w:right w:val="none" w:sz="0" w:space="0" w:color="auto"/>
          </w:divBdr>
        </w:div>
        <w:div w:id="511604907">
          <w:marLeft w:val="547"/>
          <w:marRight w:val="0"/>
          <w:marTop w:val="240"/>
          <w:marBottom w:val="0"/>
          <w:divBdr>
            <w:top w:val="none" w:sz="0" w:space="0" w:color="auto"/>
            <w:left w:val="none" w:sz="0" w:space="0" w:color="auto"/>
            <w:bottom w:val="none" w:sz="0" w:space="0" w:color="auto"/>
            <w:right w:val="none" w:sz="0" w:space="0" w:color="auto"/>
          </w:divBdr>
        </w:div>
        <w:div w:id="546642434">
          <w:marLeft w:val="1440"/>
          <w:marRight w:val="0"/>
          <w:marTop w:val="0"/>
          <w:marBottom w:val="0"/>
          <w:divBdr>
            <w:top w:val="none" w:sz="0" w:space="0" w:color="auto"/>
            <w:left w:val="none" w:sz="0" w:space="0" w:color="auto"/>
            <w:bottom w:val="none" w:sz="0" w:space="0" w:color="auto"/>
            <w:right w:val="none" w:sz="0" w:space="0" w:color="auto"/>
          </w:divBdr>
        </w:div>
        <w:div w:id="873806589">
          <w:marLeft w:val="216"/>
          <w:marRight w:val="0"/>
          <w:marTop w:val="240"/>
          <w:marBottom w:val="0"/>
          <w:divBdr>
            <w:top w:val="none" w:sz="0" w:space="0" w:color="auto"/>
            <w:left w:val="none" w:sz="0" w:space="0" w:color="auto"/>
            <w:bottom w:val="none" w:sz="0" w:space="0" w:color="auto"/>
            <w:right w:val="none" w:sz="0" w:space="0" w:color="auto"/>
          </w:divBdr>
        </w:div>
        <w:div w:id="1222983509">
          <w:marLeft w:val="216"/>
          <w:marRight w:val="0"/>
          <w:marTop w:val="240"/>
          <w:marBottom w:val="0"/>
          <w:divBdr>
            <w:top w:val="none" w:sz="0" w:space="0" w:color="auto"/>
            <w:left w:val="none" w:sz="0" w:space="0" w:color="auto"/>
            <w:bottom w:val="none" w:sz="0" w:space="0" w:color="auto"/>
            <w:right w:val="none" w:sz="0" w:space="0" w:color="auto"/>
          </w:divBdr>
        </w:div>
        <w:div w:id="1318192935">
          <w:marLeft w:val="547"/>
          <w:marRight w:val="0"/>
          <w:marTop w:val="240"/>
          <w:marBottom w:val="0"/>
          <w:divBdr>
            <w:top w:val="none" w:sz="0" w:space="0" w:color="auto"/>
            <w:left w:val="none" w:sz="0" w:space="0" w:color="auto"/>
            <w:bottom w:val="none" w:sz="0" w:space="0" w:color="auto"/>
            <w:right w:val="none" w:sz="0" w:space="0" w:color="auto"/>
          </w:divBdr>
        </w:div>
        <w:div w:id="1604873696">
          <w:marLeft w:val="1267"/>
          <w:marRight w:val="0"/>
          <w:marTop w:val="0"/>
          <w:marBottom w:val="0"/>
          <w:divBdr>
            <w:top w:val="none" w:sz="0" w:space="0" w:color="auto"/>
            <w:left w:val="none" w:sz="0" w:space="0" w:color="auto"/>
            <w:bottom w:val="none" w:sz="0" w:space="0" w:color="auto"/>
            <w:right w:val="none" w:sz="0" w:space="0" w:color="auto"/>
          </w:divBdr>
        </w:div>
      </w:divsChild>
    </w:div>
    <w:div w:id="133986723">
      <w:bodyDiv w:val="1"/>
      <w:marLeft w:val="0"/>
      <w:marRight w:val="0"/>
      <w:marTop w:val="0"/>
      <w:marBottom w:val="0"/>
      <w:divBdr>
        <w:top w:val="none" w:sz="0" w:space="0" w:color="auto"/>
        <w:left w:val="none" w:sz="0" w:space="0" w:color="auto"/>
        <w:bottom w:val="none" w:sz="0" w:space="0" w:color="auto"/>
        <w:right w:val="none" w:sz="0" w:space="0" w:color="auto"/>
      </w:divBdr>
    </w:div>
    <w:div w:id="189491235">
      <w:bodyDiv w:val="1"/>
      <w:marLeft w:val="0"/>
      <w:marRight w:val="0"/>
      <w:marTop w:val="0"/>
      <w:marBottom w:val="0"/>
      <w:divBdr>
        <w:top w:val="none" w:sz="0" w:space="0" w:color="auto"/>
        <w:left w:val="none" w:sz="0" w:space="0" w:color="auto"/>
        <w:bottom w:val="none" w:sz="0" w:space="0" w:color="auto"/>
        <w:right w:val="none" w:sz="0" w:space="0" w:color="auto"/>
      </w:divBdr>
    </w:div>
    <w:div w:id="195776552">
      <w:bodyDiv w:val="1"/>
      <w:marLeft w:val="0"/>
      <w:marRight w:val="0"/>
      <w:marTop w:val="0"/>
      <w:marBottom w:val="0"/>
      <w:divBdr>
        <w:top w:val="none" w:sz="0" w:space="0" w:color="auto"/>
        <w:left w:val="none" w:sz="0" w:space="0" w:color="auto"/>
        <w:bottom w:val="none" w:sz="0" w:space="0" w:color="auto"/>
        <w:right w:val="none" w:sz="0" w:space="0" w:color="auto"/>
      </w:divBdr>
    </w:div>
    <w:div w:id="236794310">
      <w:bodyDiv w:val="1"/>
      <w:marLeft w:val="0"/>
      <w:marRight w:val="0"/>
      <w:marTop w:val="0"/>
      <w:marBottom w:val="0"/>
      <w:divBdr>
        <w:top w:val="none" w:sz="0" w:space="0" w:color="auto"/>
        <w:left w:val="none" w:sz="0" w:space="0" w:color="auto"/>
        <w:bottom w:val="none" w:sz="0" w:space="0" w:color="auto"/>
        <w:right w:val="none" w:sz="0" w:space="0" w:color="auto"/>
      </w:divBdr>
    </w:div>
    <w:div w:id="265967052">
      <w:bodyDiv w:val="1"/>
      <w:marLeft w:val="0"/>
      <w:marRight w:val="0"/>
      <w:marTop w:val="0"/>
      <w:marBottom w:val="0"/>
      <w:divBdr>
        <w:top w:val="none" w:sz="0" w:space="0" w:color="auto"/>
        <w:left w:val="none" w:sz="0" w:space="0" w:color="auto"/>
        <w:bottom w:val="none" w:sz="0" w:space="0" w:color="auto"/>
        <w:right w:val="none" w:sz="0" w:space="0" w:color="auto"/>
      </w:divBdr>
      <w:divsChild>
        <w:div w:id="359162308">
          <w:marLeft w:val="432"/>
          <w:marRight w:val="0"/>
          <w:marTop w:val="240"/>
          <w:marBottom w:val="0"/>
          <w:divBdr>
            <w:top w:val="none" w:sz="0" w:space="0" w:color="auto"/>
            <w:left w:val="none" w:sz="0" w:space="0" w:color="auto"/>
            <w:bottom w:val="none" w:sz="0" w:space="0" w:color="auto"/>
            <w:right w:val="none" w:sz="0" w:space="0" w:color="auto"/>
          </w:divBdr>
        </w:div>
        <w:div w:id="1375275745">
          <w:marLeft w:val="432"/>
          <w:marRight w:val="0"/>
          <w:marTop w:val="240"/>
          <w:marBottom w:val="0"/>
          <w:divBdr>
            <w:top w:val="none" w:sz="0" w:space="0" w:color="auto"/>
            <w:left w:val="none" w:sz="0" w:space="0" w:color="auto"/>
            <w:bottom w:val="none" w:sz="0" w:space="0" w:color="auto"/>
            <w:right w:val="none" w:sz="0" w:space="0" w:color="auto"/>
          </w:divBdr>
        </w:div>
        <w:div w:id="1566721993">
          <w:marLeft w:val="432"/>
          <w:marRight w:val="0"/>
          <w:marTop w:val="240"/>
          <w:marBottom w:val="0"/>
          <w:divBdr>
            <w:top w:val="none" w:sz="0" w:space="0" w:color="auto"/>
            <w:left w:val="none" w:sz="0" w:space="0" w:color="auto"/>
            <w:bottom w:val="none" w:sz="0" w:space="0" w:color="auto"/>
            <w:right w:val="none" w:sz="0" w:space="0" w:color="auto"/>
          </w:divBdr>
        </w:div>
      </w:divsChild>
    </w:div>
    <w:div w:id="317420943">
      <w:bodyDiv w:val="1"/>
      <w:marLeft w:val="0"/>
      <w:marRight w:val="0"/>
      <w:marTop w:val="0"/>
      <w:marBottom w:val="0"/>
      <w:divBdr>
        <w:top w:val="none" w:sz="0" w:space="0" w:color="auto"/>
        <w:left w:val="none" w:sz="0" w:space="0" w:color="auto"/>
        <w:bottom w:val="none" w:sz="0" w:space="0" w:color="auto"/>
        <w:right w:val="none" w:sz="0" w:space="0" w:color="auto"/>
      </w:divBdr>
    </w:div>
    <w:div w:id="421145345">
      <w:bodyDiv w:val="1"/>
      <w:marLeft w:val="0"/>
      <w:marRight w:val="0"/>
      <w:marTop w:val="0"/>
      <w:marBottom w:val="0"/>
      <w:divBdr>
        <w:top w:val="none" w:sz="0" w:space="0" w:color="auto"/>
        <w:left w:val="none" w:sz="0" w:space="0" w:color="auto"/>
        <w:bottom w:val="none" w:sz="0" w:space="0" w:color="auto"/>
        <w:right w:val="none" w:sz="0" w:space="0" w:color="auto"/>
      </w:divBdr>
    </w:div>
    <w:div w:id="441148356">
      <w:bodyDiv w:val="1"/>
      <w:marLeft w:val="0"/>
      <w:marRight w:val="0"/>
      <w:marTop w:val="0"/>
      <w:marBottom w:val="0"/>
      <w:divBdr>
        <w:top w:val="none" w:sz="0" w:space="0" w:color="auto"/>
        <w:left w:val="none" w:sz="0" w:space="0" w:color="auto"/>
        <w:bottom w:val="none" w:sz="0" w:space="0" w:color="auto"/>
        <w:right w:val="none" w:sz="0" w:space="0" w:color="auto"/>
      </w:divBdr>
    </w:div>
    <w:div w:id="454715369">
      <w:bodyDiv w:val="1"/>
      <w:marLeft w:val="0"/>
      <w:marRight w:val="0"/>
      <w:marTop w:val="0"/>
      <w:marBottom w:val="0"/>
      <w:divBdr>
        <w:top w:val="none" w:sz="0" w:space="0" w:color="auto"/>
        <w:left w:val="none" w:sz="0" w:space="0" w:color="auto"/>
        <w:bottom w:val="none" w:sz="0" w:space="0" w:color="auto"/>
        <w:right w:val="none" w:sz="0" w:space="0" w:color="auto"/>
      </w:divBdr>
    </w:div>
    <w:div w:id="471679440">
      <w:bodyDiv w:val="1"/>
      <w:marLeft w:val="0"/>
      <w:marRight w:val="0"/>
      <w:marTop w:val="0"/>
      <w:marBottom w:val="0"/>
      <w:divBdr>
        <w:top w:val="none" w:sz="0" w:space="0" w:color="auto"/>
        <w:left w:val="none" w:sz="0" w:space="0" w:color="auto"/>
        <w:bottom w:val="none" w:sz="0" w:space="0" w:color="auto"/>
        <w:right w:val="none" w:sz="0" w:space="0" w:color="auto"/>
      </w:divBdr>
    </w:div>
    <w:div w:id="623775061">
      <w:bodyDiv w:val="1"/>
      <w:marLeft w:val="0"/>
      <w:marRight w:val="0"/>
      <w:marTop w:val="0"/>
      <w:marBottom w:val="0"/>
      <w:divBdr>
        <w:top w:val="none" w:sz="0" w:space="0" w:color="auto"/>
        <w:left w:val="none" w:sz="0" w:space="0" w:color="auto"/>
        <w:bottom w:val="none" w:sz="0" w:space="0" w:color="auto"/>
        <w:right w:val="none" w:sz="0" w:space="0" w:color="auto"/>
      </w:divBdr>
    </w:div>
    <w:div w:id="634337254">
      <w:bodyDiv w:val="1"/>
      <w:marLeft w:val="0"/>
      <w:marRight w:val="0"/>
      <w:marTop w:val="0"/>
      <w:marBottom w:val="0"/>
      <w:divBdr>
        <w:top w:val="none" w:sz="0" w:space="0" w:color="auto"/>
        <w:left w:val="none" w:sz="0" w:space="0" w:color="auto"/>
        <w:bottom w:val="none" w:sz="0" w:space="0" w:color="auto"/>
        <w:right w:val="none" w:sz="0" w:space="0" w:color="auto"/>
      </w:divBdr>
    </w:div>
    <w:div w:id="650018739">
      <w:bodyDiv w:val="1"/>
      <w:marLeft w:val="0"/>
      <w:marRight w:val="0"/>
      <w:marTop w:val="0"/>
      <w:marBottom w:val="0"/>
      <w:divBdr>
        <w:top w:val="none" w:sz="0" w:space="0" w:color="auto"/>
        <w:left w:val="none" w:sz="0" w:space="0" w:color="auto"/>
        <w:bottom w:val="none" w:sz="0" w:space="0" w:color="auto"/>
        <w:right w:val="none" w:sz="0" w:space="0" w:color="auto"/>
      </w:divBdr>
    </w:div>
    <w:div w:id="718213873">
      <w:bodyDiv w:val="1"/>
      <w:marLeft w:val="0"/>
      <w:marRight w:val="0"/>
      <w:marTop w:val="0"/>
      <w:marBottom w:val="0"/>
      <w:divBdr>
        <w:top w:val="none" w:sz="0" w:space="0" w:color="auto"/>
        <w:left w:val="none" w:sz="0" w:space="0" w:color="auto"/>
        <w:bottom w:val="none" w:sz="0" w:space="0" w:color="auto"/>
        <w:right w:val="none" w:sz="0" w:space="0" w:color="auto"/>
      </w:divBdr>
      <w:divsChild>
        <w:div w:id="400370405">
          <w:marLeft w:val="216"/>
          <w:marRight w:val="0"/>
          <w:marTop w:val="240"/>
          <w:marBottom w:val="0"/>
          <w:divBdr>
            <w:top w:val="none" w:sz="0" w:space="0" w:color="auto"/>
            <w:left w:val="none" w:sz="0" w:space="0" w:color="auto"/>
            <w:bottom w:val="none" w:sz="0" w:space="0" w:color="auto"/>
            <w:right w:val="none" w:sz="0" w:space="0" w:color="auto"/>
          </w:divBdr>
        </w:div>
      </w:divsChild>
    </w:div>
    <w:div w:id="778066937">
      <w:bodyDiv w:val="1"/>
      <w:marLeft w:val="0"/>
      <w:marRight w:val="0"/>
      <w:marTop w:val="0"/>
      <w:marBottom w:val="0"/>
      <w:divBdr>
        <w:top w:val="none" w:sz="0" w:space="0" w:color="auto"/>
        <w:left w:val="none" w:sz="0" w:space="0" w:color="auto"/>
        <w:bottom w:val="none" w:sz="0" w:space="0" w:color="auto"/>
        <w:right w:val="none" w:sz="0" w:space="0" w:color="auto"/>
      </w:divBdr>
    </w:div>
    <w:div w:id="878206435">
      <w:bodyDiv w:val="1"/>
      <w:marLeft w:val="0"/>
      <w:marRight w:val="0"/>
      <w:marTop w:val="0"/>
      <w:marBottom w:val="0"/>
      <w:divBdr>
        <w:top w:val="none" w:sz="0" w:space="0" w:color="auto"/>
        <w:left w:val="none" w:sz="0" w:space="0" w:color="auto"/>
        <w:bottom w:val="none" w:sz="0" w:space="0" w:color="auto"/>
        <w:right w:val="none" w:sz="0" w:space="0" w:color="auto"/>
      </w:divBdr>
    </w:div>
    <w:div w:id="881868465">
      <w:bodyDiv w:val="1"/>
      <w:marLeft w:val="0"/>
      <w:marRight w:val="0"/>
      <w:marTop w:val="0"/>
      <w:marBottom w:val="0"/>
      <w:divBdr>
        <w:top w:val="none" w:sz="0" w:space="0" w:color="auto"/>
        <w:left w:val="none" w:sz="0" w:space="0" w:color="auto"/>
        <w:bottom w:val="none" w:sz="0" w:space="0" w:color="auto"/>
        <w:right w:val="none" w:sz="0" w:space="0" w:color="auto"/>
      </w:divBdr>
    </w:div>
    <w:div w:id="882987861">
      <w:bodyDiv w:val="1"/>
      <w:marLeft w:val="0"/>
      <w:marRight w:val="0"/>
      <w:marTop w:val="0"/>
      <w:marBottom w:val="0"/>
      <w:divBdr>
        <w:top w:val="none" w:sz="0" w:space="0" w:color="auto"/>
        <w:left w:val="none" w:sz="0" w:space="0" w:color="auto"/>
        <w:bottom w:val="none" w:sz="0" w:space="0" w:color="auto"/>
        <w:right w:val="none" w:sz="0" w:space="0" w:color="auto"/>
      </w:divBdr>
    </w:div>
    <w:div w:id="976253206">
      <w:bodyDiv w:val="1"/>
      <w:marLeft w:val="0"/>
      <w:marRight w:val="0"/>
      <w:marTop w:val="0"/>
      <w:marBottom w:val="0"/>
      <w:divBdr>
        <w:top w:val="none" w:sz="0" w:space="0" w:color="auto"/>
        <w:left w:val="none" w:sz="0" w:space="0" w:color="auto"/>
        <w:bottom w:val="none" w:sz="0" w:space="0" w:color="auto"/>
        <w:right w:val="none" w:sz="0" w:space="0" w:color="auto"/>
      </w:divBdr>
      <w:divsChild>
        <w:div w:id="141776074">
          <w:marLeft w:val="850"/>
          <w:marRight w:val="0"/>
          <w:marTop w:val="0"/>
          <w:marBottom w:val="0"/>
          <w:divBdr>
            <w:top w:val="none" w:sz="0" w:space="0" w:color="auto"/>
            <w:left w:val="none" w:sz="0" w:space="0" w:color="auto"/>
            <w:bottom w:val="none" w:sz="0" w:space="0" w:color="auto"/>
            <w:right w:val="none" w:sz="0" w:space="0" w:color="auto"/>
          </w:divBdr>
        </w:div>
        <w:div w:id="186139204">
          <w:marLeft w:val="821"/>
          <w:marRight w:val="0"/>
          <w:marTop w:val="0"/>
          <w:marBottom w:val="0"/>
          <w:divBdr>
            <w:top w:val="none" w:sz="0" w:space="0" w:color="auto"/>
            <w:left w:val="none" w:sz="0" w:space="0" w:color="auto"/>
            <w:bottom w:val="none" w:sz="0" w:space="0" w:color="auto"/>
            <w:right w:val="none" w:sz="0" w:space="0" w:color="auto"/>
          </w:divBdr>
        </w:div>
        <w:div w:id="297993805">
          <w:marLeft w:val="821"/>
          <w:marRight w:val="0"/>
          <w:marTop w:val="0"/>
          <w:marBottom w:val="0"/>
          <w:divBdr>
            <w:top w:val="none" w:sz="0" w:space="0" w:color="auto"/>
            <w:left w:val="none" w:sz="0" w:space="0" w:color="auto"/>
            <w:bottom w:val="none" w:sz="0" w:space="0" w:color="auto"/>
            <w:right w:val="none" w:sz="0" w:space="0" w:color="auto"/>
          </w:divBdr>
        </w:div>
        <w:div w:id="354577326">
          <w:marLeft w:val="850"/>
          <w:marRight w:val="0"/>
          <w:marTop w:val="0"/>
          <w:marBottom w:val="0"/>
          <w:divBdr>
            <w:top w:val="none" w:sz="0" w:space="0" w:color="auto"/>
            <w:left w:val="none" w:sz="0" w:space="0" w:color="auto"/>
            <w:bottom w:val="none" w:sz="0" w:space="0" w:color="auto"/>
            <w:right w:val="none" w:sz="0" w:space="0" w:color="auto"/>
          </w:divBdr>
        </w:div>
        <w:div w:id="367485342">
          <w:marLeft w:val="821"/>
          <w:marRight w:val="0"/>
          <w:marTop w:val="0"/>
          <w:marBottom w:val="0"/>
          <w:divBdr>
            <w:top w:val="none" w:sz="0" w:space="0" w:color="auto"/>
            <w:left w:val="none" w:sz="0" w:space="0" w:color="auto"/>
            <w:bottom w:val="none" w:sz="0" w:space="0" w:color="auto"/>
            <w:right w:val="none" w:sz="0" w:space="0" w:color="auto"/>
          </w:divBdr>
        </w:div>
        <w:div w:id="370884999">
          <w:marLeft w:val="850"/>
          <w:marRight w:val="0"/>
          <w:marTop w:val="0"/>
          <w:marBottom w:val="0"/>
          <w:divBdr>
            <w:top w:val="none" w:sz="0" w:space="0" w:color="auto"/>
            <w:left w:val="none" w:sz="0" w:space="0" w:color="auto"/>
            <w:bottom w:val="none" w:sz="0" w:space="0" w:color="auto"/>
            <w:right w:val="none" w:sz="0" w:space="0" w:color="auto"/>
          </w:divBdr>
        </w:div>
        <w:div w:id="952245694">
          <w:marLeft w:val="821"/>
          <w:marRight w:val="0"/>
          <w:marTop w:val="0"/>
          <w:marBottom w:val="0"/>
          <w:divBdr>
            <w:top w:val="none" w:sz="0" w:space="0" w:color="auto"/>
            <w:left w:val="none" w:sz="0" w:space="0" w:color="auto"/>
            <w:bottom w:val="none" w:sz="0" w:space="0" w:color="auto"/>
            <w:right w:val="none" w:sz="0" w:space="0" w:color="auto"/>
          </w:divBdr>
        </w:div>
        <w:div w:id="1190291656">
          <w:marLeft w:val="821"/>
          <w:marRight w:val="0"/>
          <w:marTop w:val="0"/>
          <w:marBottom w:val="0"/>
          <w:divBdr>
            <w:top w:val="none" w:sz="0" w:space="0" w:color="auto"/>
            <w:left w:val="none" w:sz="0" w:space="0" w:color="auto"/>
            <w:bottom w:val="none" w:sz="0" w:space="0" w:color="auto"/>
            <w:right w:val="none" w:sz="0" w:space="0" w:color="auto"/>
          </w:divBdr>
        </w:div>
        <w:div w:id="1252275230">
          <w:marLeft w:val="850"/>
          <w:marRight w:val="0"/>
          <w:marTop w:val="0"/>
          <w:marBottom w:val="0"/>
          <w:divBdr>
            <w:top w:val="none" w:sz="0" w:space="0" w:color="auto"/>
            <w:left w:val="none" w:sz="0" w:space="0" w:color="auto"/>
            <w:bottom w:val="none" w:sz="0" w:space="0" w:color="auto"/>
            <w:right w:val="none" w:sz="0" w:space="0" w:color="auto"/>
          </w:divBdr>
        </w:div>
        <w:div w:id="1508714005">
          <w:marLeft w:val="821"/>
          <w:marRight w:val="0"/>
          <w:marTop w:val="0"/>
          <w:marBottom w:val="0"/>
          <w:divBdr>
            <w:top w:val="none" w:sz="0" w:space="0" w:color="auto"/>
            <w:left w:val="none" w:sz="0" w:space="0" w:color="auto"/>
            <w:bottom w:val="none" w:sz="0" w:space="0" w:color="auto"/>
            <w:right w:val="none" w:sz="0" w:space="0" w:color="auto"/>
          </w:divBdr>
        </w:div>
        <w:div w:id="1696810656">
          <w:marLeft w:val="821"/>
          <w:marRight w:val="0"/>
          <w:marTop w:val="0"/>
          <w:marBottom w:val="0"/>
          <w:divBdr>
            <w:top w:val="none" w:sz="0" w:space="0" w:color="auto"/>
            <w:left w:val="none" w:sz="0" w:space="0" w:color="auto"/>
            <w:bottom w:val="none" w:sz="0" w:space="0" w:color="auto"/>
            <w:right w:val="none" w:sz="0" w:space="0" w:color="auto"/>
          </w:divBdr>
        </w:div>
        <w:div w:id="2079860574">
          <w:marLeft w:val="850"/>
          <w:marRight w:val="0"/>
          <w:marTop w:val="0"/>
          <w:marBottom w:val="0"/>
          <w:divBdr>
            <w:top w:val="none" w:sz="0" w:space="0" w:color="auto"/>
            <w:left w:val="none" w:sz="0" w:space="0" w:color="auto"/>
            <w:bottom w:val="none" w:sz="0" w:space="0" w:color="auto"/>
            <w:right w:val="none" w:sz="0" w:space="0" w:color="auto"/>
          </w:divBdr>
        </w:div>
      </w:divsChild>
    </w:div>
    <w:div w:id="1001003119">
      <w:bodyDiv w:val="1"/>
      <w:marLeft w:val="0"/>
      <w:marRight w:val="0"/>
      <w:marTop w:val="0"/>
      <w:marBottom w:val="0"/>
      <w:divBdr>
        <w:top w:val="none" w:sz="0" w:space="0" w:color="auto"/>
        <w:left w:val="none" w:sz="0" w:space="0" w:color="auto"/>
        <w:bottom w:val="none" w:sz="0" w:space="0" w:color="auto"/>
        <w:right w:val="none" w:sz="0" w:space="0" w:color="auto"/>
      </w:divBdr>
      <w:divsChild>
        <w:div w:id="439034997">
          <w:marLeft w:val="821"/>
          <w:marRight w:val="0"/>
          <w:marTop w:val="0"/>
          <w:marBottom w:val="0"/>
          <w:divBdr>
            <w:top w:val="none" w:sz="0" w:space="0" w:color="auto"/>
            <w:left w:val="none" w:sz="0" w:space="0" w:color="auto"/>
            <w:bottom w:val="none" w:sz="0" w:space="0" w:color="auto"/>
            <w:right w:val="none" w:sz="0" w:space="0" w:color="auto"/>
          </w:divBdr>
        </w:div>
        <w:div w:id="1465192306">
          <w:marLeft w:val="562"/>
          <w:marRight w:val="0"/>
          <w:marTop w:val="0"/>
          <w:marBottom w:val="0"/>
          <w:divBdr>
            <w:top w:val="none" w:sz="0" w:space="0" w:color="auto"/>
            <w:left w:val="none" w:sz="0" w:space="0" w:color="auto"/>
            <w:bottom w:val="none" w:sz="0" w:space="0" w:color="auto"/>
            <w:right w:val="none" w:sz="0" w:space="0" w:color="auto"/>
          </w:divBdr>
        </w:div>
        <w:div w:id="1946503101">
          <w:marLeft w:val="821"/>
          <w:marRight w:val="0"/>
          <w:marTop w:val="0"/>
          <w:marBottom w:val="0"/>
          <w:divBdr>
            <w:top w:val="none" w:sz="0" w:space="0" w:color="auto"/>
            <w:left w:val="none" w:sz="0" w:space="0" w:color="auto"/>
            <w:bottom w:val="none" w:sz="0" w:space="0" w:color="auto"/>
            <w:right w:val="none" w:sz="0" w:space="0" w:color="auto"/>
          </w:divBdr>
        </w:div>
      </w:divsChild>
    </w:div>
    <w:div w:id="1239829127">
      <w:bodyDiv w:val="1"/>
      <w:marLeft w:val="0"/>
      <w:marRight w:val="0"/>
      <w:marTop w:val="0"/>
      <w:marBottom w:val="0"/>
      <w:divBdr>
        <w:top w:val="none" w:sz="0" w:space="0" w:color="auto"/>
        <w:left w:val="none" w:sz="0" w:space="0" w:color="auto"/>
        <w:bottom w:val="none" w:sz="0" w:space="0" w:color="auto"/>
        <w:right w:val="none" w:sz="0" w:space="0" w:color="auto"/>
      </w:divBdr>
      <w:divsChild>
        <w:div w:id="500976243">
          <w:marLeft w:val="216"/>
          <w:marRight w:val="0"/>
          <w:marTop w:val="240"/>
          <w:marBottom w:val="0"/>
          <w:divBdr>
            <w:top w:val="none" w:sz="0" w:space="0" w:color="auto"/>
            <w:left w:val="none" w:sz="0" w:space="0" w:color="auto"/>
            <w:bottom w:val="none" w:sz="0" w:space="0" w:color="auto"/>
            <w:right w:val="none" w:sz="0" w:space="0" w:color="auto"/>
          </w:divBdr>
        </w:div>
        <w:div w:id="1121191096">
          <w:marLeft w:val="562"/>
          <w:marRight w:val="0"/>
          <w:marTop w:val="0"/>
          <w:marBottom w:val="0"/>
          <w:divBdr>
            <w:top w:val="none" w:sz="0" w:space="0" w:color="auto"/>
            <w:left w:val="none" w:sz="0" w:space="0" w:color="auto"/>
            <w:bottom w:val="none" w:sz="0" w:space="0" w:color="auto"/>
            <w:right w:val="none" w:sz="0" w:space="0" w:color="auto"/>
          </w:divBdr>
        </w:div>
        <w:div w:id="1179079925">
          <w:marLeft w:val="562"/>
          <w:marRight w:val="0"/>
          <w:marTop w:val="0"/>
          <w:marBottom w:val="0"/>
          <w:divBdr>
            <w:top w:val="none" w:sz="0" w:space="0" w:color="auto"/>
            <w:left w:val="none" w:sz="0" w:space="0" w:color="auto"/>
            <w:bottom w:val="none" w:sz="0" w:space="0" w:color="auto"/>
            <w:right w:val="none" w:sz="0" w:space="0" w:color="auto"/>
          </w:divBdr>
        </w:div>
        <w:div w:id="1236168055">
          <w:marLeft w:val="562"/>
          <w:marRight w:val="0"/>
          <w:marTop w:val="0"/>
          <w:marBottom w:val="0"/>
          <w:divBdr>
            <w:top w:val="none" w:sz="0" w:space="0" w:color="auto"/>
            <w:left w:val="none" w:sz="0" w:space="0" w:color="auto"/>
            <w:bottom w:val="none" w:sz="0" w:space="0" w:color="auto"/>
            <w:right w:val="none" w:sz="0" w:space="0" w:color="auto"/>
          </w:divBdr>
        </w:div>
        <w:div w:id="1690132823">
          <w:marLeft w:val="216"/>
          <w:marRight w:val="0"/>
          <w:marTop w:val="240"/>
          <w:marBottom w:val="0"/>
          <w:divBdr>
            <w:top w:val="none" w:sz="0" w:space="0" w:color="auto"/>
            <w:left w:val="none" w:sz="0" w:space="0" w:color="auto"/>
            <w:bottom w:val="none" w:sz="0" w:space="0" w:color="auto"/>
            <w:right w:val="none" w:sz="0" w:space="0" w:color="auto"/>
          </w:divBdr>
        </w:div>
        <w:div w:id="1729298478">
          <w:marLeft w:val="216"/>
          <w:marRight w:val="0"/>
          <w:marTop w:val="240"/>
          <w:marBottom w:val="0"/>
          <w:divBdr>
            <w:top w:val="none" w:sz="0" w:space="0" w:color="auto"/>
            <w:left w:val="none" w:sz="0" w:space="0" w:color="auto"/>
            <w:bottom w:val="none" w:sz="0" w:space="0" w:color="auto"/>
            <w:right w:val="none" w:sz="0" w:space="0" w:color="auto"/>
          </w:divBdr>
        </w:div>
        <w:div w:id="1924758485">
          <w:marLeft w:val="562"/>
          <w:marRight w:val="0"/>
          <w:marTop w:val="0"/>
          <w:marBottom w:val="0"/>
          <w:divBdr>
            <w:top w:val="none" w:sz="0" w:space="0" w:color="auto"/>
            <w:left w:val="none" w:sz="0" w:space="0" w:color="auto"/>
            <w:bottom w:val="none" w:sz="0" w:space="0" w:color="auto"/>
            <w:right w:val="none" w:sz="0" w:space="0" w:color="auto"/>
          </w:divBdr>
        </w:div>
        <w:div w:id="1990748268">
          <w:marLeft w:val="562"/>
          <w:marRight w:val="0"/>
          <w:marTop w:val="0"/>
          <w:marBottom w:val="0"/>
          <w:divBdr>
            <w:top w:val="none" w:sz="0" w:space="0" w:color="auto"/>
            <w:left w:val="none" w:sz="0" w:space="0" w:color="auto"/>
            <w:bottom w:val="none" w:sz="0" w:space="0" w:color="auto"/>
            <w:right w:val="none" w:sz="0" w:space="0" w:color="auto"/>
          </w:divBdr>
        </w:div>
        <w:div w:id="2016346527">
          <w:marLeft w:val="216"/>
          <w:marRight w:val="0"/>
          <w:marTop w:val="240"/>
          <w:marBottom w:val="0"/>
          <w:divBdr>
            <w:top w:val="none" w:sz="0" w:space="0" w:color="auto"/>
            <w:left w:val="none" w:sz="0" w:space="0" w:color="auto"/>
            <w:bottom w:val="none" w:sz="0" w:space="0" w:color="auto"/>
            <w:right w:val="none" w:sz="0" w:space="0" w:color="auto"/>
          </w:divBdr>
        </w:div>
      </w:divsChild>
    </w:div>
    <w:div w:id="1260944535">
      <w:bodyDiv w:val="1"/>
      <w:marLeft w:val="0"/>
      <w:marRight w:val="0"/>
      <w:marTop w:val="0"/>
      <w:marBottom w:val="0"/>
      <w:divBdr>
        <w:top w:val="none" w:sz="0" w:space="0" w:color="auto"/>
        <w:left w:val="none" w:sz="0" w:space="0" w:color="auto"/>
        <w:bottom w:val="none" w:sz="0" w:space="0" w:color="auto"/>
        <w:right w:val="none" w:sz="0" w:space="0" w:color="auto"/>
      </w:divBdr>
    </w:div>
    <w:div w:id="1312372690">
      <w:bodyDiv w:val="1"/>
      <w:marLeft w:val="0"/>
      <w:marRight w:val="0"/>
      <w:marTop w:val="0"/>
      <w:marBottom w:val="0"/>
      <w:divBdr>
        <w:top w:val="none" w:sz="0" w:space="0" w:color="auto"/>
        <w:left w:val="none" w:sz="0" w:space="0" w:color="auto"/>
        <w:bottom w:val="none" w:sz="0" w:space="0" w:color="auto"/>
        <w:right w:val="none" w:sz="0" w:space="0" w:color="auto"/>
      </w:divBdr>
      <w:divsChild>
        <w:div w:id="1614551447">
          <w:marLeft w:val="216"/>
          <w:marRight w:val="0"/>
          <w:marTop w:val="240"/>
          <w:marBottom w:val="0"/>
          <w:divBdr>
            <w:top w:val="none" w:sz="0" w:space="0" w:color="auto"/>
            <w:left w:val="none" w:sz="0" w:space="0" w:color="auto"/>
            <w:bottom w:val="none" w:sz="0" w:space="0" w:color="auto"/>
            <w:right w:val="none" w:sz="0" w:space="0" w:color="auto"/>
          </w:divBdr>
        </w:div>
      </w:divsChild>
    </w:div>
    <w:div w:id="1352679936">
      <w:bodyDiv w:val="1"/>
      <w:marLeft w:val="0"/>
      <w:marRight w:val="0"/>
      <w:marTop w:val="0"/>
      <w:marBottom w:val="0"/>
      <w:divBdr>
        <w:top w:val="none" w:sz="0" w:space="0" w:color="auto"/>
        <w:left w:val="none" w:sz="0" w:space="0" w:color="auto"/>
        <w:bottom w:val="none" w:sz="0" w:space="0" w:color="auto"/>
        <w:right w:val="none" w:sz="0" w:space="0" w:color="auto"/>
      </w:divBdr>
      <w:divsChild>
        <w:div w:id="95830850">
          <w:marLeft w:val="216"/>
          <w:marRight w:val="0"/>
          <w:marTop w:val="240"/>
          <w:marBottom w:val="0"/>
          <w:divBdr>
            <w:top w:val="none" w:sz="0" w:space="0" w:color="auto"/>
            <w:left w:val="none" w:sz="0" w:space="0" w:color="auto"/>
            <w:bottom w:val="none" w:sz="0" w:space="0" w:color="auto"/>
            <w:right w:val="none" w:sz="0" w:space="0" w:color="auto"/>
          </w:divBdr>
        </w:div>
      </w:divsChild>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583180922">
      <w:bodyDiv w:val="1"/>
      <w:marLeft w:val="0"/>
      <w:marRight w:val="0"/>
      <w:marTop w:val="0"/>
      <w:marBottom w:val="0"/>
      <w:divBdr>
        <w:top w:val="none" w:sz="0" w:space="0" w:color="auto"/>
        <w:left w:val="none" w:sz="0" w:space="0" w:color="auto"/>
        <w:bottom w:val="none" w:sz="0" w:space="0" w:color="auto"/>
        <w:right w:val="none" w:sz="0" w:space="0" w:color="auto"/>
      </w:divBdr>
    </w:div>
    <w:div w:id="1687906412">
      <w:bodyDiv w:val="1"/>
      <w:marLeft w:val="0"/>
      <w:marRight w:val="0"/>
      <w:marTop w:val="0"/>
      <w:marBottom w:val="0"/>
      <w:divBdr>
        <w:top w:val="none" w:sz="0" w:space="0" w:color="auto"/>
        <w:left w:val="none" w:sz="0" w:space="0" w:color="auto"/>
        <w:bottom w:val="none" w:sz="0" w:space="0" w:color="auto"/>
        <w:right w:val="none" w:sz="0" w:space="0" w:color="auto"/>
      </w:divBdr>
    </w:div>
    <w:div w:id="1693416108">
      <w:bodyDiv w:val="1"/>
      <w:marLeft w:val="0"/>
      <w:marRight w:val="0"/>
      <w:marTop w:val="0"/>
      <w:marBottom w:val="0"/>
      <w:divBdr>
        <w:top w:val="none" w:sz="0" w:space="0" w:color="auto"/>
        <w:left w:val="none" w:sz="0" w:space="0" w:color="auto"/>
        <w:bottom w:val="none" w:sz="0" w:space="0" w:color="auto"/>
        <w:right w:val="none" w:sz="0" w:space="0" w:color="auto"/>
      </w:divBdr>
    </w:div>
    <w:div w:id="1843082287">
      <w:bodyDiv w:val="1"/>
      <w:marLeft w:val="0"/>
      <w:marRight w:val="0"/>
      <w:marTop w:val="0"/>
      <w:marBottom w:val="0"/>
      <w:divBdr>
        <w:top w:val="none" w:sz="0" w:space="0" w:color="auto"/>
        <w:left w:val="none" w:sz="0" w:space="0" w:color="auto"/>
        <w:bottom w:val="none" w:sz="0" w:space="0" w:color="auto"/>
        <w:right w:val="none" w:sz="0" w:space="0" w:color="auto"/>
      </w:divBdr>
    </w:div>
    <w:div w:id="1844079629">
      <w:bodyDiv w:val="1"/>
      <w:marLeft w:val="0"/>
      <w:marRight w:val="0"/>
      <w:marTop w:val="0"/>
      <w:marBottom w:val="0"/>
      <w:divBdr>
        <w:top w:val="none" w:sz="0" w:space="0" w:color="auto"/>
        <w:left w:val="none" w:sz="0" w:space="0" w:color="auto"/>
        <w:bottom w:val="none" w:sz="0" w:space="0" w:color="auto"/>
        <w:right w:val="none" w:sz="0" w:space="0" w:color="auto"/>
      </w:divBdr>
      <w:divsChild>
        <w:div w:id="1697535959">
          <w:marLeft w:val="216"/>
          <w:marRight w:val="0"/>
          <w:marTop w:val="240"/>
          <w:marBottom w:val="0"/>
          <w:divBdr>
            <w:top w:val="none" w:sz="0" w:space="0" w:color="auto"/>
            <w:left w:val="none" w:sz="0" w:space="0" w:color="auto"/>
            <w:bottom w:val="none" w:sz="0" w:space="0" w:color="auto"/>
            <w:right w:val="none" w:sz="0" w:space="0" w:color="auto"/>
          </w:divBdr>
        </w:div>
      </w:divsChild>
    </w:div>
    <w:div w:id="1867861822">
      <w:bodyDiv w:val="1"/>
      <w:marLeft w:val="0"/>
      <w:marRight w:val="0"/>
      <w:marTop w:val="0"/>
      <w:marBottom w:val="0"/>
      <w:divBdr>
        <w:top w:val="none" w:sz="0" w:space="0" w:color="auto"/>
        <w:left w:val="none" w:sz="0" w:space="0" w:color="auto"/>
        <w:bottom w:val="none" w:sz="0" w:space="0" w:color="auto"/>
        <w:right w:val="none" w:sz="0" w:space="0" w:color="auto"/>
      </w:divBdr>
    </w:div>
    <w:div w:id="1870878345">
      <w:bodyDiv w:val="1"/>
      <w:marLeft w:val="0"/>
      <w:marRight w:val="0"/>
      <w:marTop w:val="0"/>
      <w:marBottom w:val="0"/>
      <w:divBdr>
        <w:top w:val="none" w:sz="0" w:space="0" w:color="auto"/>
        <w:left w:val="none" w:sz="0" w:space="0" w:color="auto"/>
        <w:bottom w:val="none" w:sz="0" w:space="0" w:color="auto"/>
        <w:right w:val="none" w:sz="0" w:space="0" w:color="auto"/>
      </w:divBdr>
    </w:div>
    <w:div w:id="1885436804">
      <w:bodyDiv w:val="1"/>
      <w:marLeft w:val="0"/>
      <w:marRight w:val="0"/>
      <w:marTop w:val="0"/>
      <w:marBottom w:val="0"/>
      <w:divBdr>
        <w:top w:val="none" w:sz="0" w:space="0" w:color="auto"/>
        <w:left w:val="none" w:sz="0" w:space="0" w:color="auto"/>
        <w:bottom w:val="none" w:sz="0" w:space="0" w:color="auto"/>
        <w:right w:val="none" w:sz="0" w:space="0" w:color="auto"/>
      </w:divBdr>
    </w:div>
    <w:div w:id="1906602772">
      <w:bodyDiv w:val="1"/>
      <w:marLeft w:val="0"/>
      <w:marRight w:val="0"/>
      <w:marTop w:val="0"/>
      <w:marBottom w:val="0"/>
      <w:divBdr>
        <w:top w:val="none" w:sz="0" w:space="0" w:color="auto"/>
        <w:left w:val="none" w:sz="0" w:space="0" w:color="auto"/>
        <w:bottom w:val="none" w:sz="0" w:space="0" w:color="auto"/>
        <w:right w:val="none" w:sz="0" w:space="0" w:color="auto"/>
      </w:divBdr>
    </w:div>
    <w:div w:id="2024235827">
      <w:bodyDiv w:val="1"/>
      <w:marLeft w:val="0"/>
      <w:marRight w:val="0"/>
      <w:marTop w:val="0"/>
      <w:marBottom w:val="0"/>
      <w:divBdr>
        <w:top w:val="none" w:sz="0" w:space="0" w:color="auto"/>
        <w:left w:val="none" w:sz="0" w:space="0" w:color="auto"/>
        <w:bottom w:val="none" w:sz="0" w:space="0" w:color="auto"/>
        <w:right w:val="none" w:sz="0" w:space="0" w:color="auto"/>
      </w:divBdr>
    </w:div>
    <w:div w:id="2028292922">
      <w:bodyDiv w:val="1"/>
      <w:marLeft w:val="0"/>
      <w:marRight w:val="0"/>
      <w:marTop w:val="0"/>
      <w:marBottom w:val="0"/>
      <w:divBdr>
        <w:top w:val="none" w:sz="0" w:space="0" w:color="auto"/>
        <w:left w:val="none" w:sz="0" w:space="0" w:color="auto"/>
        <w:bottom w:val="none" w:sz="0" w:space="0" w:color="auto"/>
        <w:right w:val="none" w:sz="0" w:space="0" w:color="auto"/>
      </w:divBdr>
    </w:div>
    <w:div w:id="2043552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FE8859-5982-4D7F-9654-DEE2BECE3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1030</Words>
  <Characters>5873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2021-08-03T08:50:00Z</dcterms:created>
  <dcterms:modified xsi:type="dcterms:W3CDTF">2021-08-07T06:35:00Z</dcterms:modified>
</cp:coreProperties>
</file>